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95" w:rsidRPr="00D55A97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A97">
        <w:rPr>
          <w:rFonts w:ascii="Times New Roman" w:hAnsi="Times New Roman"/>
          <w:b/>
          <w:sz w:val="28"/>
          <w:szCs w:val="28"/>
        </w:rPr>
        <w:t>ДОКЛАД</w:t>
      </w:r>
    </w:p>
    <w:p w:rsidR="00064E5F" w:rsidRPr="00D55A97" w:rsidRDefault="00C3152D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A97">
        <w:rPr>
          <w:rFonts w:ascii="Times New Roman" w:hAnsi="Times New Roman"/>
          <w:b/>
          <w:sz w:val="28"/>
          <w:szCs w:val="28"/>
        </w:rPr>
        <w:t>о</w:t>
      </w:r>
      <w:r w:rsidR="00064E5F" w:rsidRPr="00D55A97">
        <w:rPr>
          <w:rFonts w:ascii="Times New Roman" w:hAnsi="Times New Roman"/>
          <w:b/>
          <w:sz w:val="28"/>
          <w:szCs w:val="28"/>
        </w:rPr>
        <w:t xml:space="preserve"> состоянии и развитии конкурентной среды на рынках товаров, работ и услуг Фурмановск</w:t>
      </w:r>
      <w:r w:rsidR="00E1725A" w:rsidRPr="00D55A97">
        <w:rPr>
          <w:rFonts w:ascii="Times New Roman" w:hAnsi="Times New Roman"/>
          <w:b/>
          <w:sz w:val="28"/>
          <w:szCs w:val="28"/>
        </w:rPr>
        <w:t>ого муниципального района за 202</w:t>
      </w:r>
      <w:r w:rsidR="00231CD8">
        <w:rPr>
          <w:rFonts w:ascii="Times New Roman" w:hAnsi="Times New Roman"/>
          <w:b/>
          <w:sz w:val="28"/>
          <w:szCs w:val="28"/>
        </w:rPr>
        <w:t>1</w:t>
      </w:r>
      <w:r w:rsidR="00064E5F" w:rsidRPr="00D55A9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4E5F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E5F" w:rsidRDefault="003C4D83" w:rsidP="00D55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Стандарта развития конкуренции в Фурмановском муниципальном районе осуществляется в соответствии с Соглашением между Правительством Ивановской области и администрацией Фурмановского муниципального района о внедрении в Ивановской области стандарта развития конкуренции от 09.12.2016г.</w:t>
      </w:r>
      <w:r w:rsidR="00064292"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:rsidR="003C4D83" w:rsidRDefault="003C4D83" w:rsidP="00D55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оценки состояния и развития конкурентной среды на рынках товаров, работ и услуг Фурмановского муниципального района</w:t>
      </w:r>
      <w:r w:rsidR="00064292">
        <w:rPr>
          <w:rFonts w:ascii="Times New Roman" w:hAnsi="Times New Roman"/>
          <w:sz w:val="28"/>
          <w:szCs w:val="28"/>
        </w:rPr>
        <w:t xml:space="preserve"> и в соответствии с пунктом 4.2 Соглашения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Pr="003C4D83">
        <w:rPr>
          <w:rFonts w:ascii="Times New Roman" w:hAnsi="Times New Roman"/>
          <w:sz w:val="28"/>
          <w:szCs w:val="28"/>
        </w:rPr>
        <w:t>Фурмановского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 проведен мониторинг состояния и развития</w:t>
      </w:r>
      <w:r w:rsidRPr="003C4D83">
        <w:t xml:space="preserve"> </w:t>
      </w:r>
      <w:r w:rsidRPr="003C4D83">
        <w:rPr>
          <w:rFonts w:ascii="Times New Roman" w:hAnsi="Times New Roman"/>
          <w:sz w:val="28"/>
          <w:szCs w:val="28"/>
        </w:rPr>
        <w:t xml:space="preserve">конкурентной среды на рынках товаров, работ и услуг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C4D83">
        <w:rPr>
          <w:rFonts w:ascii="Times New Roman" w:hAnsi="Times New Roman"/>
          <w:sz w:val="28"/>
          <w:szCs w:val="28"/>
        </w:rPr>
        <w:t>Фурмановско</w:t>
      </w:r>
      <w:r>
        <w:rPr>
          <w:rFonts w:ascii="Times New Roman" w:hAnsi="Times New Roman"/>
          <w:sz w:val="28"/>
          <w:szCs w:val="28"/>
        </w:rPr>
        <w:t>м</w:t>
      </w:r>
      <w:r w:rsidRPr="003C4D83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3C4D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е.</w:t>
      </w:r>
    </w:p>
    <w:p w:rsidR="002E3791" w:rsidRDefault="002E3791" w:rsidP="00D55A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5D9" w:rsidRDefault="002E3791" w:rsidP="002E3791">
      <w:pPr>
        <w:pStyle w:val="6"/>
        <w:shd w:val="clear" w:color="auto" w:fill="auto"/>
        <w:spacing w:after="0" w:line="240" w:lineRule="auto"/>
        <w:ind w:left="23" w:right="23" w:firstLine="69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</w:t>
      </w:r>
      <w:r w:rsidRPr="00346561">
        <w:rPr>
          <w:b/>
          <w:sz w:val="28"/>
          <w:szCs w:val="28"/>
        </w:rPr>
        <w:t>социально</w:t>
      </w:r>
      <w:r w:rsidR="00B70698">
        <w:rPr>
          <w:b/>
          <w:sz w:val="28"/>
          <w:szCs w:val="28"/>
        </w:rPr>
        <w:t>-экономического развития района</w:t>
      </w:r>
    </w:p>
    <w:p w:rsidR="00B70698" w:rsidRPr="002E3791" w:rsidRDefault="00B70698" w:rsidP="002E3791">
      <w:pPr>
        <w:pStyle w:val="6"/>
        <w:shd w:val="clear" w:color="auto" w:fill="auto"/>
        <w:spacing w:after="0" w:line="240" w:lineRule="auto"/>
        <w:ind w:left="23" w:right="23" w:firstLine="697"/>
        <w:contextualSpacing/>
        <w:rPr>
          <w:b/>
          <w:sz w:val="28"/>
          <w:szCs w:val="28"/>
        </w:rPr>
      </w:pPr>
    </w:p>
    <w:p w:rsidR="009A55D9" w:rsidRPr="00E53397" w:rsidRDefault="009A55D9" w:rsidP="007873C8">
      <w:pPr>
        <w:pStyle w:val="3"/>
        <w:ind w:left="0" w:firstLine="709"/>
        <w:rPr>
          <w:sz w:val="28"/>
        </w:rPr>
      </w:pPr>
      <w:r w:rsidRPr="00E53397">
        <w:rPr>
          <w:sz w:val="28"/>
        </w:rPr>
        <w:t>Фурмановский муниципальный район – муниципальное образование, входящее в состав Ивановской области.</w:t>
      </w:r>
    </w:p>
    <w:p w:rsidR="009A55D9" w:rsidRPr="00E53397" w:rsidRDefault="009A55D9" w:rsidP="007873C8">
      <w:pPr>
        <w:pStyle w:val="4"/>
        <w:ind w:firstLine="709"/>
      </w:pPr>
      <w:r w:rsidRPr="00E53397">
        <w:t xml:space="preserve">Территория –  </w:t>
      </w:r>
      <w:r>
        <w:t>763,2</w:t>
      </w:r>
      <w:r w:rsidRPr="00E53397">
        <w:t xml:space="preserve"> кв. км</w:t>
      </w:r>
      <w:r>
        <w:t>.</w:t>
      </w:r>
    </w:p>
    <w:p w:rsidR="00567096" w:rsidRPr="00567096" w:rsidRDefault="009A55D9" w:rsidP="005670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7096">
        <w:rPr>
          <w:rFonts w:ascii="Times New Roman" w:hAnsi="Times New Roman"/>
          <w:sz w:val="28"/>
          <w:szCs w:val="28"/>
        </w:rPr>
        <w:t xml:space="preserve">Город Фурманов находится в центральной части области и занимает удобное транспортно-географическое положение – на пересечении дорог: железной Ярославль – Иваново и автомобильной Иваново – Кострома. </w:t>
      </w:r>
      <w:r w:rsidR="00567096" w:rsidRPr="00567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населения н</w:t>
      </w:r>
      <w:r w:rsidR="005670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01.01.2022 – 38 399 человек.</w:t>
      </w:r>
    </w:p>
    <w:p w:rsidR="00C068CA" w:rsidRPr="009A55D9" w:rsidRDefault="00C068CA" w:rsidP="00567096">
      <w:pPr>
        <w:pStyle w:val="ad"/>
        <w:spacing w:after="0"/>
        <w:jc w:val="both"/>
        <w:rPr>
          <w:sz w:val="28"/>
          <w:szCs w:val="28"/>
        </w:rPr>
      </w:pPr>
    </w:p>
    <w:p w:rsidR="00C068CA" w:rsidRDefault="00C068CA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C068CA">
        <w:rPr>
          <w:rFonts w:ascii="Times New Roman" w:eastAsia="Batang" w:hAnsi="Times New Roman"/>
          <w:b/>
          <w:sz w:val="28"/>
          <w:szCs w:val="28"/>
          <w:lang w:eastAsia="ko-KR"/>
        </w:rPr>
        <w:t>Промышленный комплекс</w:t>
      </w:r>
    </w:p>
    <w:p w:rsidR="00B70698" w:rsidRPr="00C068CA" w:rsidRDefault="00B70698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9A55D9" w:rsidRPr="009A55D9" w:rsidRDefault="009A55D9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9A55D9">
        <w:rPr>
          <w:rFonts w:ascii="Times New Roman" w:eastAsia="Batang" w:hAnsi="Times New Roman"/>
          <w:sz w:val="28"/>
          <w:szCs w:val="28"/>
          <w:lang w:eastAsia="ko-KR"/>
        </w:rPr>
        <w:t>За 202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>1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год объем отгруженных товаров собственного производства, выполненных работ и услуг составил 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 xml:space="preserve">15 135,044 </w:t>
      </w:r>
      <w:r w:rsidR="00EB1751" w:rsidRPr="009A55D9">
        <w:rPr>
          <w:rFonts w:ascii="Times New Roman" w:eastAsia="Batang" w:hAnsi="Times New Roman"/>
          <w:sz w:val="28"/>
          <w:szCs w:val="28"/>
          <w:lang w:eastAsia="ko-KR"/>
        </w:rPr>
        <w:t>млн. рублей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 xml:space="preserve">, 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что составляет 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>138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% к соответствующему периоду прошлого года. </w:t>
      </w:r>
    </w:p>
    <w:p w:rsidR="009A55D9" w:rsidRDefault="009A55D9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В структуре объема отгруженных товаров собственного производства, выполненных работ и услуг Фурмановского муниципального района  ведущее место занимает  производство текстильных изделий, которое составляет 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48%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(наиболее крупные представители отрасли</w:t>
      </w:r>
      <w:r w:rsidR="00B70698">
        <w:rPr>
          <w:rFonts w:ascii="Times New Roman" w:eastAsia="Batang" w:hAnsi="Times New Roman"/>
          <w:sz w:val="28"/>
          <w:szCs w:val="28"/>
          <w:lang w:eastAsia="ko-KR"/>
        </w:rPr>
        <w:t>: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ООО «Текстильная Компания «Русский Дом», ООО «Фурмановская фабрика №2», ПТФ №3 ОАО ХБК «Шуйские ситцы», ООО «МИРтекс»). Производство готовых металлических изделий, кроме машин и оборудования в структуре объема отгруженных товаров собственного производства, выполненных работ и услуг составляет 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2</w:t>
      </w:r>
      <w:r w:rsidR="00EB1751">
        <w:rPr>
          <w:rFonts w:ascii="Times New Roman" w:eastAsia="Batang" w:hAnsi="Times New Roman"/>
          <w:b/>
          <w:sz w:val="28"/>
          <w:szCs w:val="28"/>
          <w:lang w:eastAsia="ko-KR"/>
        </w:rPr>
        <w:t>2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(представлено предприятием ООО «Билдэкс»);  производство резиновых и пластмассовых изделий – </w:t>
      </w:r>
      <w:r w:rsidR="00EB1751">
        <w:rPr>
          <w:rFonts w:ascii="Times New Roman" w:eastAsia="Batang" w:hAnsi="Times New Roman"/>
          <w:b/>
          <w:sz w:val="28"/>
          <w:szCs w:val="28"/>
          <w:lang w:eastAsia="ko-KR"/>
        </w:rPr>
        <w:t>20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, (представлена предприятием ООО «ЛиматонУпаковка»); добывающая промышленность – </w:t>
      </w:r>
      <w:r w:rsidR="00EB1751">
        <w:rPr>
          <w:rFonts w:ascii="Times New Roman" w:eastAsia="Batang" w:hAnsi="Times New Roman"/>
          <w:b/>
          <w:sz w:val="28"/>
          <w:szCs w:val="28"/>
          <w:lang w:eastAsia="ko-KR"/>
        </w:rPr>
        <w:t>4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(представлена предприятием ООО «Хромцовский карьер»); обеспечение электроэнергией газом и паром; кондиционирование воздуха – </w:t>
      </w:r>
      <w:r w:rsidR="00EB1751">
        <w:rPr>
          <w:rFonts w:ascii="Times New Roman" w:eastAsia="Batang" w:hAnsi="Times New Roman"/>
          <w:b/>
          <w:sz w:val="28"/>
          <w:szCs w:val="28"/>
          <w:lang w:eastAsia="ko-KR"/>
        </w:rPr>
        <w:t>3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, сельское хозяйство– </w:t>
      </w:r>
      <w:r w:rsidR="00EB1751">
        <w:rPr>
          <w:rFonts w:ascii="Times New Roman" w:eastAsia="Batang" w:hAnsi="Times New Roman"/>
          <w:b/>
          <w:sz w:val="28"/>
          <w:szCs w:val="28"/>
          <w:lang w:eastAsia="ko-KR"/>
        </w:rPr>
        <w:t>3</w:t>
      </w:r>
      <w:r w:rsidRPr="009A55D9">
        <w:rPr>
          <w:rFonts w:ascii="Times New Roman" w:eastAsia="Batang" w:hAnsi="Times New Roman"/>
          <w:b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(ООО «Славянка», ООО «МТС»). В районе имеется также хлебокомбинат, масложировой комбинат, кондитерский и мясоперерабатывающий цеха.</w:t>
      </w:r>
    </w:p>
    <w:p w:rsidR="009A55D9" w:rsidRDefault="00C068CA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  <w:r>
        <w:rPr>
          <w:rFonts w:ascii="Times New Roman" w:eastAsia="Batang" w:hAnsi="Times New Roman"/>
          <w:b/>
          <w:sz w:val="28"/>
          <w:szCs w:val="24"/>
          <w:lang w:eastAsia="ko-KR"/>
        </w:rPr>
        <w:lastRenderedPageBreak/>
        <w:t>Агропромышленный комплекс</w:t>
      </w:r>
    </w:p>
    <w:p w:rsidR="00B70698" w:rsidRPr="009A55D9" w:rsidRDefault="00B70698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</w:p>
    <w:p w:rsidR="009A55D9" w:rsidRPr="009A55D9" w:rsidRDefault="009A55D9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В состав агропромышленного комплекса Фурмановского муниципального района входят 3 сельскохозяйственных предприятия 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 xml:space="preserve">       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>(ООО «Славянка»,  ООО «МТС», ООО «Середской комбикормовый завод»), 8 крес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 xml:space="preserve">тьянско-фермерских хозяйств (КФХ Полякова А.В., КФХ 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Третьякова М.В.,  Пашаев М.М.О., КФХ Попова Т.Ю., КФХ Попов М.А., КФХ Рагимов Р.В.О., КФХ Кочнев С.В., КФХ Мусаев А.М.) и более 3 тыс. личных подсобных хозяйств. </w:t>
      </w:r>
    </w:p>
    <w:p w:rsidR="009A55D9" w:rsidRPr="009A55D9" w:rsidRDefault="009A55D9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9A55D9">
        <w:rPr>
          <w:rFonts w:ascii="Times New Roman" w:eastAsia="Batang" w:hAnsi="Times New Roman"/>
          <w:sz w:val="28"/>
          <w:szCs w:val="28"/>
          <w:lang w:eastAsia="ko-KR"/>
        </w:rPr>
        <w:t>Объем производства продукции в хозяйствах всех категорий  на 01.01.202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>2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>г. составляет 4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>01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>,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>856 млн. руб. –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это 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>95</w:t>
      </w:r>
      <w:r w:rsidR="00B70698">
        <w:rPr>
          <w:rFonts w:ascii="Times New Roman" w:eastAsia="Batang" w:hAnsi="Times New Roman"/>
          <w:sz w:val="28"/>
          <w:szCs w:val="28"/>
          <w:lang w:eastAsia="ko-KR"/>
        </w:rPr>
        <w:t>%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к уровню 20</w:t>
      </w:r>
      <w:r w:rsidR="00EB1751">
        <w:rPr>
          <w:rFonts w:ascii="Times New Roman" w:eastAsia="Batang" w:hAnsi="Times New Roman"/>
          <w:sz w:val="28"/>
          <w:szCs w:val="28"/>
          <w:lang w:eastAsia="ko-KR"/>
        </w:rPr>
        <w:t>20</w:t>
      </w:r>
      <w:r w:rsidRPr="009A55D9">
        <w:rPr>
          <w:rFonts w:ascii="Times New Roman" w:eastAsia="Batang" w:hAnsi="Times New Roman"/>
          <w:sz w:val="28"/>
          <w:szCs w:val="28"/>
          <w:lang w:eastAsia="ko-KR"/>
        </w:rPr>
        <w:t xml:space="preserve"> года.</w:t>
      </w:r>
    </w:p>
    <w:p w:rsidR="009A55D9" w:rsidRDefault="009A55D9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2E3791" w:rsidRDefault="00C068CA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Потребительский рынок</w:t>
      </w:r>
    </w:p>
    <w:p w:rsidR="00B70698" w:rsidRPr="002E3791" w:rsidRDefault="00B70698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Система потребительского рынка </w:t>
      </w:r>
      <w:r w:rsidR="007873C8" w:rsidRPr="002E3791">
        <w:rPr>
          <w:rFonts w:ascii="Times New Roman" w:eastAsia="Batang" w:hAnsi="Times New Roman"/>
          <w:sz w:val="28"/>
          <w:szCs w:val="24"/>
          <w:lang w:eastAsia="ko-KR"/>
        </w:rPr>
        <w:t>–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одна из важнейших и наиболее развивающихся отраслей народного хозяйства, призванная стабильно и на высоком уровне обеспечивать жителей, предприятия и организации товарами и услугами.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>По состоянию на 1 января 202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>2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года торговая сеть Фурмановского муниципального района представлена: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>- 4 торговыми центрами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 xml:space="preserve"> (100% к уровню 2020)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, 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>- 2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>37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магазинами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 xml:space="preserve"> (96% к уровню 2020)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>,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>- 1 предприятием оптово-розничной торговли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 xml:space="preserve"> (100% к уровню 2020)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>,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- 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>31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предприяти</w:t>
      </w:r>
      <w:r w:rsidR="00782EC5">
        <w:rPr>
          <w:rFonts w:ascii="Times New Roman" w:eastAsia="Batang" w:hAnsi="Times New Roman"/>
          <w:sz w:val="28"/>
          <w:szCs w:val="24"/>
          <w:lang w:eastAsia="ko-KR"/>
        </w:rPr>
        <w:t>ем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общественного питания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 xml:space="preserve"> (107% к уровню 2020)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>,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- 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>82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предприятиями бытового обслуживания</w:t>
      </w:r>
      <w:r w:rsidR="007873C8">
        <w:rPr>
          <w:rFonts w:ascii="Times New Roman" w:eastAsia="Batang" w:hAnsi="Times New Roman"/>
          <w:sz w:val="28"/>
          <w:szCs w:val="24"/>
          <w:lang w:eastAsia="ko-KR"/>
        </w:rPr>
        <w:t xml:space="preserve"> (85% к уровню 2020)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>.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На территории Фурмановского муниципального района функционируют две ярмарки. 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Общественное питание представлено </w:t>
      </w:r>
      <w:r w:rsidR="001668B5">
        <w:rPr>
          <w:rFonts w:ascii="Times New Roman" w:eastAsia="Batang" w:hAnsi="Times New Roman"/>
          <w:sz w:val="28"/>
          <w:szCs w:val="24"/>
          <w:lang w:eastAsia="ko-KR"/>
        </w:rPr>
        <w:t>31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предприяти</w:t>
      </w:r>
      <w:r w:rsidR="00782EC5">
        <w:rPr>
          <w:rFonts w:ascii="Times New Roman" w:eastAsia="Batang" w:hAnsi="Times New Roman"/>
          <w:sz w:val="28"/>
          <w:szCs w:val="24"/>
          <w:lang w:eastAsia="ko-KR"/>
        </w:rPr>
        <w:t>ем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на 2126 посадочных мест</w:t>
      </w:r>
      <w:r w:rsidR="001668B5">
        <w:rPr>
          <w:rFonts w:ascii="Times New Roman" w:eastAsia="Batang" w:hAnsi="Times New Roman"/>
          <w:sz w:val="28"/>
          <w:szCs w:val="24"/>
          <w:lang w:eastAsia="ko-KR"/>
        </w:rPr>
        <w:t xml:space="preserve"> (105% к уровню 2020)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>.</w:t>
      </w:r>
    </w:p>
    <w:p w:rsidR="002E3791" w:rsidRPr="002E3791" w:rsidRDefault="002E379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Бытовые услуги населению оказывают </w:t>
      </w:r>
      <w:r w:rsidR="001668B5">
        <w:rPr>
          <w:rFonts w:ascii="Times New Roman" w:eastAsia="Batang" w:hAnsi="Times New Roman"/>
          <w:sz w:val="28"/>
          <w:szCs w:val="24"/>
          <w:lang w:eastAsia="ko-KR"/>
        </w:rPr>
        <w:t>82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 предприяти</w:t>
      </w:r>
      <w:r w:rsidR="00782EC5">
        <w:rPr>
          <w:rFonts w:ascii="Times New Roman" w:eastAsia="Batang" w:hAnsi="Times New Roman"/>
          <w:sz w:val="28"/>
          <w:szCs w:val="24"/>
          <w:lang w:eastAsia="ko-KR"/>
        </w:rPr>
        <w:t>я</w:t>
      </w:r>
      <w:r w:rsidRPr="002E3791">
        <w:rPr>
          <w:rFonts w:ascii="Times New Roman" w:eastAsia="Batang" w:hAnsi="Times New Roman"/>
          <w:sz w:val="28"/>
          <w:szCs w:val="24"/>
          <w:lang w:eastAsia="ko-KR"/>
        </w:rPr>
        <w:t xml:space="preserve">. Более 95% предприятий службы быта сосредоточены в городе. </w:t>
      </w:r>
    </w:p>
    <w:p w:rsidR="00C068CA" w:rsidRDefault="002E3791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3791">
        <w:rPr>
          <w:rFonts w:ascii="Times New Roman" w:eastAsia="Batang" w:hAnsi="Times New Roman"/>
          <w:sz w:val="28"/>
          <w:szCs w:val="24"/>
          <w:lang w:eastAsia="ko-KR"/>
        </w:rPr>
        <w:t>Населению муниципального района оказываются следующие бытовые услуги: пошив и ремонт одежды, ремонт обуви, ремонт и техническое обслуживание теле-радио аппаратуры, ремонт и техническое обслуживание сложнобытовой техники, парикмахерские услуги, фото услуги, ремонт часов, ритуальные услуги, услуги бань, саун, ремонт и строительство жилья, услуги по замене дверей и окон и другие.</w:t>
      </w:r>
    </w:p>
    <w:p w:rsidR="00C068CA" w:rsidRPr="00865698" w:rsidRDefault="00C068CA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698">
        <w:rPr>
          <w:rFonts w:ascii="Times New Roman" w:hAnsi="Times New Roman"/>
          <w:sz w:val="28"/>
        </w:rPr>
        <w:t>Финансовые организации (включая филиалы)</w:t>
      </w:r>
      <w:r>
        <w:rPr>
          <w:rFonts w:ascii="Times New Roman" w:hAnsi="Times New Roman"/>
          <w:sz w:val="28"/>
        </w:rPr>
        <w:t xml:space="preserve">: </w:t>
      </w:r>
      <w:r w:rsidRPr="0086569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банков</w:t>
      </w:r>
      <w:r w:rsidRPr="00865698">
        <w:rPr>
          <w:rFonts w:ascii="Times New Roman" w:hAnsi="Times New Roman"/>
          <w:sz w:val="28"/>
        </w:rPr>
        <w:t xml:space="preserve"> – филиал Ивановского ОСБ №8639 Сбербанка России; филиал</w:t>
      </w:r>
      <w:r>
        <w:rPr>
          <w:rFonts w:ascii="Times New Roman" w:hAnsi="Times New Roman"/>
          <w:sz w:val="28"/>
        </w:rPr>
        <w:t xml:space="preserve"> </w:t>
      </w:r>
      <w:r w:rsidRPr="00865698">
        <w:rPr>
          <w:rFonts w:ascii="Times New Roman" w:hAnsi="Times New Roman"/>
          <w:sz w:val="28"/>
        </w:rPr>
        <w:t>«Вознесенский» АКБ «Инвестторгбанк»; Ивановский филиал ООО ИКБ «Совкомбанк»;</w:t>
      </w:r>
      <w:r>
        <w:rPr>
          <w:rFonts w:ascii="Times New Roman" w:hAnsi="Times New Roman"/>
          <w:sz w:val="28"/>
        </w:rPr>
        <w:t xml:space="preserve"> </w:t>
      </w:r>
      <w:r w:rsidRPr="00865698">
        <w:rPr>
          <w:rFonts w:ascii="Times New Roman" w:hAnsi="Times New Roman"/>
          <w:sz w:val="28"/>
        </w:rPr>
        <w:t>Ивановский региональный филиал ОАО «Россельхозбанк», АО КИБ «Евроальянс»</w:t>
      </w:r>
      <w:r w:rsidR="00782EC5">
        <w:rPr>
          <w:rFonts w:ascii="Times New Roman" w:hAnsi="Times New Roman"/>
          <w:sz w:val="28"/>
        </w:rPr>
        <w:t xml:space="preserve"> и 10 микрофинансовых организаций</w:t>
      </w:r>
      <w:r w:rsidRPr="00865698">
        <w:rPr>
          <w:rFonts w:ascii="Times New Roman" w:hAnsi="Times New Roman"/>
          <w:sz w:val="28"/>
        </w:rPr>
        <w:t>.</w:t>
      </w:r>
    </w:p>
    <w:p w:rsidR="00C068CA" w:rsidRPr="00372019" w:rsidRDefault="00C068CA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698">
        <w:rPr>
          <w:rFonts w:ascii="Times New Roman" w:hAnsi="Times New Roman"/>
          <w:sz w:val="28"/>
        </w:rPr>
        <w:t>Страховые компании</w:t>
      </w:r>
      <w:r>
        <w:rPr>
          <w:rFonts w:ascii="Times New Roman" w:hAnsi="Times New Roman"/>
          <w:sz w:val="28"/>
        </w:rPr>
        <w:t>:</w:t>
      </w:r>
      <w:r w:rsidRPr="00865698"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</w:t>
      </w:r>
      <w:r w:rsidRPr="00865698">
        <w:rPr>
          <w:rFonts w:ascii="Times New Roman" w:hAnsi="Times New Roman"/>
          <w:sz w:val="28"/>
        </w:rPr>
        <w:t>компани</w:t>
      </w:r>
      <w:r>
        <w:rPr>
          <w:rFonts w:ascii="Times New Roman" w:hAnsi="Times New Roman"/>
          <w:sz w:val="28"/>
        </w:rPr>
        <w:t>и</w:t>
      </w:r>
      <w:r w:rsidRPr="00865698">
        <w:rPr>
          <w:rFonts w:ascii="Times New Roman" w:hAnsi="Times New Roman"/>
          <w:sz w:val="28"/>
        </w:rPr>
        <w:t xml:space="preserve"> – филиал ООО «Росгосстрах»; АО Страховая компания</w:t>
      </w:r>
      <w:r>
        <w:rPr>
          <w:rFonts w:ascii="Times New Roman" w:hAnsi="Times New Roman"/>
          <w:sz w:val="28"/>
        </w:rPr>
        <w:t xml:space="preserve"> </w:t>
      </w:r>
      <w:r w:rsidRPr="00865698">
        <w:rPr>
          <w:rFonts w:ascii="Times New Roman" w:hAnsi="Times New Roman"/>
          <w:sz w:val="28"/>
        </w:rPr>
        <w:t>«СОГАЗ-Мед».</w:t>
      </w:r>
    </w:p>
    <w:p w:rsidR="00C068CA" w:rsidRPr="00865698" w:rsidRDefault="00C068CA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698">
        <w:rPr>
          <w:rFonts w:ascii="Times New Roman" w:hAnsi="Times New Roman"/>
          <w:sz w:val="28"/>
          <w:szCs w:val="28"/>
        </w:rPr>
        <w:t xml:space="preserve">Рынок услуг связи и интернет на территории Ивановской области представлен следующими крупными операторами связи: ПАО «Ростелеком», </w:t>
      </w:r>
      <w:r w:rsidRPr="00865698">
        <w:rPr>
          <w:rFonts w:ascii="Times New Roman" w:hAnsi="Times New Roman"/>
          <w:sz w:val="28"/>
          <w:szCs w:val="28"/>
        </w:rPr>
        <w:lastRenderedPageBreak/>
        <w:t>ПАО «МТС», ПАО «Мегафон», ПАО «Вымпелком», ООО «Т2 Мобайл», ООО «Интеркомтел».</w:t>
      </w:r>
    </w:p>
    <w:p w:rsidR="00C068CA" w:rsidRPr="00865698" w:rsidRDefault="00C068CA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698">
        <w:rPr>
          <w:rFonts w:ascii="Times New Roman" w:hAnsi="Times New Roman"/>
          <w:sz w:val="28"/>
          <w:szCs w:val="28"/>
        </w:rPr>
        <w:t>На территории Ивановской области реализуется региональный проект «Информационная инфраструктура» национального проекта «Цифровая экономика Российской Федерации», целью которого является устранение цифрового неравенства и подключение к сети Интернет социально значимых объектов. В 2021 году Министерство цифрового развития, связи и массовых коммуникаций Российской Федерации и ПАО «Ростелеком» подписали дополнительное соглашение об условиях оказания универсальных услуг связи. ПАО «Ростелеком» приступает к реализации второго этапа проекта «Устранение цифрового неравенства» (УЦН 2.0), который включает организацию сетей мобильной связи в малых населенных пунктах (от 100 до 500 человек).</w:t>
      </w:r>
    </w:p>
    <w:p w:rsidR="00A34B21" w:rsidRDefault="00A34B21" w:rsidP="007873C8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4"/>
          <w:lang w:eastAsia="ko-KR"/>
        </w:rPr>
      </w:pPr>
    </w:p>
    <w:p w:rsidR="00A34B21" w:rsidRDefault="00A34B21" w:rsidP="007873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4B21">
        <w:rPr>
          <w:rFonts w:ascii="Times New Roman" w:hAnsi="Times New Roman"/>
          <w:b/>
          <w:sz w:val="28"/>
          <w:szCs w:val="28"/>
        </w:rPr>
        <w:t>Жилищно-коммунальное хозяйство и дорожная инфраструктура</w:t>
      </w:r>
    </w:p>
    <w:p w:rsidR="00B70698" w:rsidRPr="00A34B21" w:rsidRDefault="00B70698" w:rsidP="007873C8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sz w:val="28"/>
          <w:szCs w:val="24"/>
          <w:lang w:eastAsia="ko-KR"/>
        </w:rPr>
      </w:pPr>
    </w:p>
    <w:p w:rsidR="00A34B21" w:rsidRDefault="00A34B21" w:rsidP="007873C8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365F91" w:themeColor="accent1" w:themeShade="BF"/>
          <w:sz w:val="28"/>
          <w:szCs w:val="24"/>
        </w:rPr>
      </w:pPr>
      <w:r w:rsidRPr="00A34B21">
        <w:rPr>
          <w:rFonts w:ascii="Times New Roman" w:eastAsiaTheme="minorHAnsi" w:hAnsi="Times New Roman"/>
          <w:sz w:val="28"/>
          <w:szCs w:val="24"/>
        </w:rPr>
        <w:t>По состоянию на 01.01.2022 на территории Фурмановского муниципального района регулируемую деятельность по производству тепловой энергии осуществляют 5 организаций, в том числе с использованием частного имущества (теплоснабжающие организации совокупная доля участия в которых РФ, субъекта РФ, муниципального образования отсутствует или не более 50%) 3 организации, с использованием муниципального имущества 2 организации.</w:t>
      </w:r>
    </w:p>
    <w:p w:rsidR="00A34B21" w:rsidRPr="00A34B21" w:rsidRDefault="00A34B21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34B21">
        <w:rPr>
          <w:rFonts w:ascii="Times New Roman" w:hAnsi="Times New Roman"/>
          <w:sz w:val="28"/>
          <w:szCs w:val="24"/>
        </w:rPr>
        <w:t>С 01.07.2017 на территории Фурмановского муниципального района деятельность по обращению с отходами осуществляет Региональный оператор, который наделен соответствующим статусом по результатам конкурсного отбора.</w:t>
      </w:r>
    </w:p>
    <w:p w:rsidR="00A34B21" w:rsidRPr="00C068CA" w:rsidRDefault="00A34B21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34B21">
        <w:rPr>
          <w:rFonts w:ascii="Times New Roman" w:hAnsi="Times New Roman"/>
          <w:sz w:val="28"/>
          <w:szCs w:val="24"/>
        </w:rPr>
        <w:t>В районе числится порядка 126 контейнерных площадок. Всего в Фурмановском районе на существующих контейнерных площадках расположено порядка 381 контейнера.  Маршруты и графики движения по согласованы с администрацией Фурмановского муниципального района. Там, где нет контейнерных площадок, организован бесконтейнерный вывоз. Пакеты для ТКО выдаются жителям.</w:t>
      </w:r>
    </w:p>
    <w:p w:rsidR="00A34B21" w:rsidRPr="00865698" w:rsidRDefault="00A34B21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698">
        <w:rPr>
          <w:rFonts w:ascii="Times New Roman" w:hAnsi="Times New Roman"/>
          <w:sz w:val="28"/>
        </w:rPr>
        <w:t>Протяженность автомобильных дорог общего пользования, проходящих по</w:t>
      </w:r>
      <w:r w:rsidR="00865698">
        <w:rPr>
          <w:rFonts w:ascii="Times New Roman" w:hAnsi="Times New Roman"/>
          <w:sz w:val="28"/>
        </w:rPr>
        <w:t xml:space="preserve"> </w:t>
      </w:r>
      <w:r w:rsidRPr="00865698">
        <w:rPr>
          <w:rFonts w:ascii="Times New Roman" w:hAnsi="Times New Roman"/>
          <w:sz w:val="28"/>
        </w:rPr>
        <w:t>территории Фурмановского муниципального района – 344,7</w:t>
      </w:r>
      <w:r w:rsidR="00865698">
        <w:rPr>
          <w:rFonts w:ascii="Times New Roman" w:hAnsi="Times New Roman"/>
          <w:sz w:val="28"/>
        </w:rPr>
        <w:t xml:space="preserve">4 км. </w:t>
      </w:r>
      <w:r w:rsidRPr="00865698">
        <w:rPr>
          <w:rFonts w:ascii="Times New Roman" w:hAnsi="Times New Roman"/>
          <w:sz w:val="28"/>
        </w:rPr>
        <w:t>Протяженность автомобильных дорог общего пользования с твердым покрытием,</w:t>
      </w:r>
      <w:r w:rsidR="00865698">
        <w:rPr>
          <w:rFonts w:ascii="Times New Roman" w:hAnsi="Times New Roman"/>
          <w:sz w:val="28"/>
        </w:rPr>
        <w:t xml:space="preserve"> </w:t>
      </w:r>
      <w:r w:rsidRPr="00865698">
        <w:rPr>
          <w:rFonts w:ascii="Times New Roman" w:hAnsi="Times New Roman"/>
          <w:sz w:val="28"/>
        </w:rPr>
        <w:t>проходящих по территории Фурмановского м</w:t>
      </w:r>
      <w:r w:rsidR="00865698">
        <w:rPr>
          <w:rFonts w:ascii="Times New Roman" w:hAnsi="Times New Roman"/>
          <w:sz w:val="28"/>
        </w:rPr>
        <w:t>униципального района – 223,8 км.</w:t>
      </w:r>
    </w:p>
    <w:p w:rsidR="00A34B21" w:rsidRDefault="00A34B21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65698">
        <w:rPr>
          <w:rFonts w:ascii="Times New Roman" w:hAnsi="Times New Roman"/>
          <w:sz w:val="28"/>
        </w:rPr>
        <w:t xml:space="preserve">На территории Ивановской области услуги по перевозке пассажиров автомобильным транспортом осуществляются по 13 муниципальным маршрутам регулярных перевозок, из них: 4 проходят по территории города Фурманов, 9 по территории города и сельских поселений. Перевозку пассажиров автомобильным транспортом по указанным муниципальным маршрутам регулярных перевозок на территории Фурмановского муниципального района осуществляют 2 перевозчика – организации частной формы собственности. В 2021 году услуги по перевозке пассажиров и багажа легковым такси на территории Ивановской области осуществляли порядка 5 </w:t>
      </w:r>
      <w:r w:rsidRPr="00865698">
        <w:rPr>
          <w:rFonts w:ascii="Times New Roman" w:hAnsi="Times New Roman"/>
          <w:sz w:val="28"/>
        </w:rPr>
        <w:lastRenderedPageBreak/>
        <w:t>организаций частной формы собственности. Доля организаций частной формы собственности в сфере оказания услуг по перевозке пассажиров и багажа легковым такси на территории района составила 100%.</w:t>
      </w:r>
    </w:p>
    <w:p w:rsidR="00B70698" w:rsidRPr="00865698" w:rsidRDefault="00B70698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34B21" w:rsidRDefault="00DE29D3" w:rsidP="007873C8">
      <w:pPr>
        <w:pStyle w:val="ab"/>
        <w:tabs>
          <w:tab w:val="left" w:pos="567"/>
        </w:tabs>
        <w:spacing w:before="0" w:beforeAutospacing="0" w:after="0" w:afterAutospacing="0"/>
        <w:ind w:right="10" w:firstLine="709"/>
        <w:jc w:val="center"/>
        <w:rPr>
          <w:b/>
          <w:sz w:val="28"/>
          <w:szCs w:val="28"/>
        </w:rPr>
      </w:pPr>
      <w:r w:rsidRPr="00DE29D3">
        <w:rPr>
          <w:b/>
          <w:sz w:val="28"/>
          <w:szCs w:val="28"/>
        </w:rPr>
        <w:t>Образование</w:t>
      </w:r>
    </w:p>
    <w:p w:rsidR="00B70698" w:rsidRPr="00DE29D3" w:rsidRDefault="00B70698" w:rsidP="007873C8">
      <w:pPr>
        <w:pStyle w:val="ab"/>
        <w:tabs>
          <w:tab w:val="left" w:pos="567"/>
        </w:tabs>
        <w:spacing w:before="0" w:beforeAutospacing="0" w:after="0" w:afterAutospacing="0"/>
        <w:ind w:right="10" w:firstLine="709"/>
        <w:jc w:val="center"/>
        <w:rPr>
          <w:b/>
          <w:sz w:val="28"/>
          <w:szCs w:val="28"/>
        </w:rPr>
      </w:pPr>
    </w:p>
    <w:p w:rsidR="00DE29D3" w:rsidRPr="00D843C2" w:rsidRDefault="00DE29D3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C2">
        <w:rPr>
          <w:rFonts w:ascii="Times New Roman" w:hAnsi="Times New Roman"/>
          <w:sz w:val="28"/>
          <w:szCs w:val="28"/>
        </w:rPr>
        <w:t>С систему образования Фурмановского муниципального района входят 24 образовательные организации:</w:t>
      </w:r>
    </w:p>
    <w:p w:rsidR="00DE29D3" w:rsidRPr="00D843C2" w:rsidRDefault="00DE29D3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C2">
        <w:rPr>
          <w:rFonts w:ascii="Times New Roman" w:hAnsi="Times New Roman"/>
          <w:sz w:val="28"/>
          <w:szCs w:val="28"/>
        </w:rPr>
        <w:t>- 9 общеобразовательных школ, 5 из них городские (средние − 4, основные − 1), 4 - сельские (средние − 1, основные − 2, начальная − 1);</w:t>
      </w:r>
    </w:p>
    <w:p w:rsidR="00DE29D3" w:rsidRPr="00D843C2" w:rsidRDefault="00DE29D3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C2">
        <w:rPr>
          <w:rFonts w:ascii="Times New Roman" w:hAnsi="Times New Roman"/>
          <w:sz w:val="28"/>
          <w:szCs w:val="28"/>
        </w:rPr>
        <w:t>- 11 дошкольных образовательных организаций, функционирующих на территории города. При трех сельских общеобразовательных школах − МОУ Дуляпинская ОШ, МОУ Хромцовская ОШ, МОУ Панинская НШ − работают дошкольные группы;</w:t>
      </w:r>
    </w:p>
    <w:p w:rsidR="00A66DC8" w:rsidRPr="00A66DC8" w:rsidRDefault="00A66DC8" w:rsidP="00A66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- 5</w:t>
      </w:r>
      <w:r w:rsidR="00DE29D3" w:rsidRPr="00D843C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="00DE29D3" w:rsidRPr="00D843C2">
        <w:rPr>
          <w:rFonts w:ascii="Times New Roman" w:hAnsi="Times New Roman"/>
          <w:sz w:val="28"/>
          <w:szCs w:val="28"/>
        </w:rPr>
        <w:t xml:space="preserve"> дополнительного образования д</w:t>
      </w:r>
      <w:r>
        <w:rPr>
          <w:rFonts w:ascii="Times New Roman" w:hAnsi="Times New Roman"/>
          <w:sz w:val="28"/>
          <w:szCs w:val="28"/>
        </w:rPr>
        <w:t xml:space="preserve">етей, все расположены в </w:t>
      </w:r>
      <w:r w:rsidRPr="00A66DC8">
        <w:rPr>
          <w:rFonts w:ascii="Times New Roman" w:hAnsi="Times New Roman"/>
          <w:sz w:val="28"/>
          <w:szCs w:val="24"/>
        </w:rPr>
        <w:t xml:space="preserve">городе. </w:t>
      </w:r>
      <w:r w:rsidRPr="00A66DC8">
        <w:rPr>
          <w:rFonts w:ascii="Times New Roman" w:hAnsi="Times New Roman"/>
          <w:sz w:val="28"/>
          <w:szCs w:val="24"/>
          <w:shd w:val="clear" w:color="auto" w:fill="FFFFFF"/>
        </w:rPr>
        <w:t>3 учреждения дополнительного образования – однопрофильные, они реализуют образовательные программы в одной области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 (Детская музыкальная школа, Детская художественная школа, Детская спортивная школа, 1 учреждение</w:t>
      </w:r>
      <w:r w:rsidRPr="00A66DC8">
        <w:rPr>
          <w:rFonts w:ascii="Times New Roman" w:hAnsi="Times New Roman"/>
          <w:sz w:val="28"/>
          <w:szCs w:val="24"/>
          <w:shd w:val="clear" w:color="auto" w:fill="FFFFFF"/>
        </w:rPr>
        <w:t xml:space="preserve"> многопрофильное, где обучение ведется по нескольким направлениям </w:t>
      </w:r>
      <w:r>
        <w:rPr>
          <w:rFonts w:ascii="Times New Roman" w:hAnsi="Times New Roman"/>
          <w:sz w:val="28"/>
          <w:szCs w:val="24"/>
          <w:shd w:val="clear" w:color="auto" w:fill="FFFFFF"/>
        </w:rPr>
        <w:t>(</w:t>
      </w:r>
      <w:r w:rsidRPr="00A66DC8">
        <w:rPr>
          <w:rFonts w:ascii="Times New Roman" w:hAnsi="Times New Roman"/>
          <w:sz w:val="28"/>
          <w:szCs w:val="24"/>
          <w:shd w:val="clear" w:color="auto" w:fill="FFFFFF"/>
        </w:rPr>
        <w:t>Центр детского творчества</w:t>
      </w:r>
      <w:r>
        <w:rPr>
          <w:rFonts w:ascii="Times New Roman" w:hAnsi="Times New Roman"/>
          <w:sz w:val="28"/>
          <w:szCs w:val="24"/>
          <w:shd w:val="clear" w:color="auto" w:fill="FFFFFF"/>
        </w:rPr>
        <w:t>), 1 частное учреждение – Центр развития и творчества «Умка»;</w:t>
      </w:r>
    </w:p>
    <w:p w:rsidR="00A66DC8" w:rsidRPr="00A66DC8" w:rsidRDefault="00A66DC8" w:rsidP="00A66DC8">
      <w:pPr>
        <w:pStyle w:val="2"/>
        <w:shd w:val="clear" w:color="auto" w:fill="FBFBFB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A66DC8">
        <w:rPr>
          <w:rFonts w:ascii="Times New Roman" w:hAnsi="Times New Roman" w:cs="Times New Roman"/>
          <w:b w:val="0"/>
          <w:color w:val="auto"/>
          <w:sz w:val="28"/>
          <w:szCs w:val="24"/>
          <w:shd w:val="clear" w:color="auto" w:fill="FFFFFF"/>
        </w:rPr>
        <w:t xml:space="preserve">- 1 учреждение профессионального образования </w:t>
      </w:r>
      <w:r w:rsidRPr="00A66DC8">
        <w:rPr>
          <w:rFonts w:ascii="Times New Roman" w:hAnsi="Times New Roman" w:cs="Times New Roman"/>
          <w:b w:val="0"/>
          <w:color w:val="auto"/>
          <w:sz w:val="28"/>
          <w:szCs w:val="24"/>
        </w:rPr>
        <w:t>ОГБПОУ Фурмановский технический колледж.</w:t>
      </w:r>
    </w:p>
    <w:p w:rsidR="00DE29D3" w:rsidRDefault="00DE29D3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C2">
        <w:rPr>
          <w:rFonts w:ascii="Times New Roman" w:hAnsi="Times New Roman"/>
          <w:sz w:val="28"/>
          <w:szCs w:val="28"/>
        </w:rPr>
        <w:t>Количество малокомплектных школ в Фурмановском муниципальном районе увеличилось до трех: МОУ Дуляпинская ОШ, МОУ Хромцовская ОШ, МОУ Панинская НШ.</w:t>
      </w:r>
    </w:p>
    <w:p w:rsidR="00B70698" w:rsidRPr="00D843C2" w:rsidRDefault="00B70698" w:rsidP="00787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C2" w:rsidRDefault="00D843C2" w:rsidP="007873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873C8">
        <w:rPr>
          <w:rFonts w:ascii="Times New Roman" w:hAnsi="Times New Roman"/>
          <w:b/>
          <w:sz w:val="28"/>
        </w:rPr>
        <w:t>Здравоохранение</w:t>
      </w:r>
    </w:p>
    <w:p w:rsidR="00B70698" w:rsidRPr="007873C8" w:rsidRDefault="00B70698" w:rsidP="007873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0B20C1" w:rsidRPr="007873C8" w:rsidRDefault="00D843C2" w:rsidP="007873C8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7873C8">
        <w:rPr>
          <w:rFonts w:ascii="Times New Roman" w:eastAsia="TimesNewRomanPSMT" w:hAnsi="Times New Roman"/>
          <w:sz w:val="28"/>
          <w:szCs w:val="28"/>
        </w:rPr>
        <w:t xml:space="preserve">На территории </w:t>
      </w:r>
      <w:r w:rsidR="007873C8" w:rsidRPr="007873C8">
        <w:rPr>
          <w:rFonts w:ascii="Times New Roman" w:eastAsia="TimesNewRomanPSMT" w:hAnsi="Times New Roman"/>
          <w:sz w:val="28"/>
          <w:szCs w:val="28"/>
        </w:rPr>
        <w:t>Фурмановского муниципального района располагается 10 частных медицинских учреждений</w:t>
      </w:r>
      <w:r w:rsidRPr="007873C8">
        <w:rPr>
          <w:rFonts w:ascii="Times New Roman" w:eastAsia="TimesNewRomanPSMT" w:hAnsi="Times New Roman"/>
          <w:sz w:val="28"/>
          <w:szCs w:val="28"/>
        </w:rPr>
        <w:t xml:space="preserve"> </w:t>
      </w:r>
      <w:r w:rsidR="007873C8" w:rsidRPr="007873C8">
        <w:rPr>
          <w:rFonts w:ascii="Times New Roman" w:eastAsia="TimesNewRomanPSMT" w:hAnsi="Times New Roman"/>
          <w:sz w:val="28"/>
          <w:szCs w:val="28"/>
        </w:rPr>
        <w:t>и ОБУЗ «Фурмановская ЦРБ».</w:t>
      </w:r>
    </w:p>
    <w:p w:rsidR="00B70698" w:rsidRDefault="00D843C2" w:rsidP="00B70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C8">
        <w:rPr>
          <w:rFonts w:ascii="Times New Roman" w:hAnsi="Times New Roman"/>
          <w:sz w:val="28"/>
          <w:szCs w:val="28"/>
        </w:rPr>
        <w:t xml:space="preserve">Розничную продажу лекарств на территории муниципального образования осуществляют </w:t>
      </w:r>
      <w:r w:rsidR="000B20C1" w:rsidRPr="007873C8">
        <w:rPr>
          <w:rFonts w:ascii="Times New Roman" w:hAnsi="Times New Roman"/>
          <w:sz w:val="28"/>
          <w:szCs w:val="28"/>
        </w:rPr>
        <w:t>1</w:t>
      </w:r>
      <w:r w:rsidRPr="007873C8">
        <w:rPr>
          <w:rFonts w:ascii="Times New Roman" w:hAnsi="Times New Roman"/>
          <w:sz w:val="28"/>
          <w:szCs w:val="28"/>
        </w:rPr>
        <w:t xml:space="preserve">8 объектов розничной торговли: </w:t>
      </w:r>
      <w:r w:rsidR="000B20C1" w:rsidRPr="007873C8">
        <w:rPr>
          <w:rFonts w:ascii="Times New Roman" w:hAnsi="Times New Roman"/>
          <w:sz w:val="28"/>
          <w:szCs w:val="28"/>
        </w:rPr>
        <w:t>9</w:t>
      </w:r>
      <w:r w:rsidRPr="007873C8">
        <w:rPr>
          <w:rFonts w:ascii="Times New Roman" w:hAnsi="Times New Roman"/>
          <w:sz w:val="28"/>
          <w:szCs w:val="28"/>
        </w:rPr>
        <w:t xml:space="preserve"> аптек и </w:t>
      </w:r>
      <w:r w:rsidR="000B20C1" w:rsidRPr="007873C8">
        <w:rPr>
          <w:rFonts w:ascii="Times New Roman" w:hAnsi="Times New Roman"/>
          <w:sz w:val="28"/>
          <w:szCs w:val="28"/>
        </w:rPr>
        <w:t>9</w:t>
      </w:r>
      <w:r w:rsidRPr="007873C8">
        <w:rPr>
          <w:rFonts w:ascii="Times New Roman" w:hAnsi="Times New Roman"/>
          <w:sz w:val="28"/>
          <w:szCs w:val="28"/>
        </w:rPr>
        <w:t xml:space="preserve"> аптечных пункт</w:t>
      </w:r>
      <w:r w:rsidR="000B20C1" w:rsidRPr="007873C8">
        <w:rPr>
          <w:rFonts w:ascii="Times New Roman" w:hAnsi="Times New Roman"/>
          <w:sz w:val="28"/>
          <w:szCs w:val="28"/>
        </w:rPr>
        <w:t>ов</w:t>
      </w:r>
      <w:r w:rsidRPr="007873C8">
        <w:rPr>
          <w:rFonts w:ascii="Times New Roman" w:hAnsi="Times New Roman"/>
          <w:sz w:val="28"/>
          <w:szCs w:val="28"/>
        </w:rPr>
        <w:t>.</w:t>
      </w:r>
      <w:r w:rsidR="000B20C1" w:rsidRPr="007873C8">
        <w:rPr>
          <w:rFonts w:ascii="Times New Roman" w:eastAsia="Batang" w:hAnsi="Times New Roman"/>
          <w:sz w:val="28"/>
          <w:szCs w:val="28"/>
          <w:lang w:eastAsia="ko-KR"/>
        </w:rPr>
        <w:t xml:space="preserve"> Кроме того,  работают 4 «социальных» аптеки, в которых реализуется определенный ассортимент лекарственных средств с наценкой не более 10%.</w:t>
      </w:r>
      <w:r w:rsidR="000B20C1" w:rsidRPr="007873C8">
        <w:rPr>
          <w:rFonts w:ascii="Times New Roman" w:hAnsi="Times New Roman"/>
          <w:sz w:val="28"/>
          <w:szCs w:val="28"/>
        </w:rPr>
        <w:t xml:space="preserve"> В настоящее время на рынке розничной торговли лекарственными препаратами, медицинскими изделиями и сопутствующими товарами доля организаций частной формы </w:t>
      </w:r>
      <w:r w:rsidR="00B70698">
        <w:rPr>
          <w:rFonts w:ascii="Times New Roman" w:hAnsi="Times New Roman"/>
          <w:sz w:val="28"/>
          <w:szCs w:val="28"/>
        </w:rPr>
        <w:t>собственности составляет 94,4%.</w:t>
      </w:r>
    </w:p>
    <w:p w:rsidR="00B70698" w:rsidRDefault="00B70698" w:rsidP="00B70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698" w:rsidRDefault="00B70698" w:rsidP="00B70698">
      <w:pPr>
        <w:widowControl w:val="0"/>
        <w:spacing w:after="0" w:line="270" w:lineRule="exact"/>
        <w:jc w:val="both"/>
        <w:rPr>
          <w:rFonts w:ascii="Times New Roman" w:hAnsi="Times New Roman"/>
          <w:sz w:val="28"/>
          <w:szCs w:val="28"/>
        </w:rPr>
      </w:pPr>
    </w:p>
    <w:p w:rsidR="001F753F" w:rsidRDefault="001F753F" w:rsidP="00062D02">
      <w:pPr>
        <w:widowControl w:val="0"/>
        <w:spacing w:after="0" w:line="270" w:lineRule="exact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02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опросов хозяйствующих субъектов и потребителей.</w:t>
      </w:r>
    </w:p>
    <w:p w:rsidR="00B70698" w:rsidRPr="00730242" w:rsidRDefault="00B70698" w:rsidP="00B70698">
      <w:pPr>
        <w:widowControl w:val="0"/>
        <w:spacing w:after="0" w:line="270" w:lineRule="exac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Default="001F753F" w:rsidP="00D55A97">
      <w:pPr>
        <w:widowControl w:val="0"/>
        <w:spacing w:after="0" w:line="322" w:lineRule="exact"/>
        <w:ind w:left="20" w:right="2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состояния и развития конкурентной среды 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FC1616" w:rsidRPr="00C9123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31CD8" w:rsidRPr="00C9123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231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 потребителей и </w:t>
      </w:r>
      <w:r w:rsidR="00FC1616" w:rsidRPr="00C9123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1CD8" w:rsidRPr="00C9123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 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субъектов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ьской деятельности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A309F" w:rsidRDefault="003A309F" w:rsidP="008A536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70698" w:rsidRDefault="00B70698" w:rsidP="008A536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Default="001F753F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51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Мониторинг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B70698" w:rsidRPr="0044515A" w:rsidRDefault="00B70698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00CD" w:rsidRPr="00C250B3" w:rsidRDefault="00D900CD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</w:pPr>
    </w:p>
    <w:p w:rsidR="00090AD1" w:rsidRDefault="001F753F" w:rsidP="00090AD1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F00F55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наличия (отсутствия) административных барьеров и оценки 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состояния конкурентной среды в </w:t>
      </w:r>
      <w:r w:rsidR="00730242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730242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67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A67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102F"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</w:t>
      </w:r>
      <w:r w:rsidR="00C9123E"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C56BFD"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индивидуальных предпринимателей</w:t>
      </w:r>
      <w:r w:rsidR="008F102F"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C9123E"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C56BFD"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юридических лиц)</w:t>
      </w:r>
      <w:r w:rsidRPr="00C91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09A9" w:rsidRDefault="003209A9" w:rsidP="00090AD1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309F" w:rsidRDefault="003A309F" w:rsidP="00090AD1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масштабу бизнеса респонденты распределились по следующим категориям:</w:t>
      </w:r>
    </w:p>
    <w:p w:rsidR="00B70698" w:rsidRDefault="00B70698" w:rsidP="00090AD1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309F" w:rsidRDefault="008A536C" w:rsidP="003A309F">
      <w:pPr>
        <w:pStyle w:val="a9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Микро предприятие (до 120 млн.руб.) </w:t>
      </w:r>
      <w:r w:rsidR="003A309F"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309F"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73,3%</w:t>
      </w:r>
    </w:p>
    <w:p w:rsidR="003A309F" w:rsidRDefault="003A309F" w:rsidP="003A309F">
      <w:pPr>
        <w:pStyle w:val="a9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Малое предприятие (от 120 до 800 млн.руб.) – 13,3%</w:t>
      </w:r>
    </w:p>
    <w:p w:rsidR="003A309F" w:rsidRDefault="003A309F" w:rsidP="003A309F">
      <w:pPr>
        <w:pStyle w:val="a9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Среднее предприятие (от 800 до 2000 млн.руб.) – 3,3%</w:t>
      </w:r>
    </w:p>
    <w:p w:rsidR="003A309F" w:rsidRDefault="003A309F" w:rsidP="003A309F">
      <w:pPr>
        <w:pStyle w:val="a9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Крупное предприятие (от 2000 млн.руб.) – 3,3%</w:t>
      </w:r>
    </w:p>
    <w:p w:rsidR="003A309F" w:rsidRPr="003A309F" w:rsidRDefault="003A309F" w:rsidP="003A309F">
      <w:pPr>
        <w:pStyle w:val="a9"/>
        <w:widowControl w:val="0"/>
        <w:numPr>
          <w:ilvl w:val="0"/>
          <w:numId w:val="16"/>
        </w:numPr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Затруднились ответить – 6,8%</w:t>
      </w:r>
    </w:p>
    <w:p w:rsidR="003A309F" w:rsidRPr="008F102F" w:rsidRDefault="003A309F" w:rsidP="00090AD1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Default="001F753F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удельный вес респондентов пришелся на субъекты предпринимательской деятельности</w:t>
      </w:r>
      <w:r w:rsidR="00730242"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осуществляющих свою деятельность на следующих рынках:</w:t>
      </w:r>
    </w:p>
    <w:p w:rsidR="00B70698" w:rsidRDefault="00B70698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70698" w:rsidRPr="008F102F" w:rsidRDefault="00B70698" w:rsidP="00D55A97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1796" w:rsidRDefault="00F21796" w:rsidP="006010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F6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123ABF" wp14:editId="036472CE">
            <wp:extent cx="5486400" cy="389382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0698" w:rsidRDefault="00B70698" w:rsidP="00B7069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F21796" w:rsidRPr="00601067" w:rsidRDefault="00631F69" w:rsidP="00601067">
      <w:pPr>
        <w:widowControl w:val="0"/>
        <w:jc w:val="center"/>
        <w:rPr>
          <w:b/>
          <w:bCs/>
          <w:color w:val="000000"/>
          <w:sz w:val="23"/>
          <w:szCs w:val="23"/>
        </w:rPr>
      </w:pPr>
      <w:r w:rsidRPr="00FC161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Рис. 1. </w:t>
      </w:r>
      <w:r w:rsidRPr="003A309F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Распределение респондентов по сфере деятельности</w:t>
      </w:r>
    </w:p>
    <w:p w:rsidR="00B70698" w:rsidRDefault="00B70698" w:rsidP="0060106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7780" w:rsidRPr="00601067" w:rsidRDefault="001F753F" w:rsidP="0060106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1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периоду времени</w:t>
      </w:r>
      <w:r w:rsidR="008F1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течение</w:t>
      </w:r>
      <w:r w:rsidRPr="00FC1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осуществляют свою деятельность субъекты предпринимательской деятельности, респонденты р</w:t>
      </w:r>
      <w:r w:rsidR="003A30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аспределились следующим образом:</w:t>
      </w:r>
    </w:p>
    <w:p w:rsidR="007A05A3" w:rsidRPr="00C250B3" w:rsidRDefault="007A05A3" w:rsidP="00FC1616">
      <w:pPr>
        <w:framePr w:h="5437" w:wrap="notBeside" w:vAnchor="text" w:hAnchor="text" w:xAlign="center" w:y="4"/>
        <w:widowControl w:val="0"/>
        <w:spacing w:after="0" w:line="240" w:lineRule="auto"/>
        <w:jc w:val="center"/>
        <w:rPr>
          <w:noProof/>
          <w:highlight w:val="lightGray"/>
          <w:lang w:eastAsia="ru-RU"/>
        </w:rPr>
      </w:pPr>
    </w:p>
    <w:p w:rsidR="00FF09E6" w:rsidRPr="00C250B3" w:rsidRDefault="00FF09E6" w:rsidP="00FC1616">
      <w:pPr>
        <w:framePr w:h="5437" w:wrap="notBeside" w:vAnchor="text" w:hAnchor="text" w:xAlign="center" w:y="4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  <w:r w:rsidRPr="00C250B3">
        <w:rPr>
          <w:rFonts w:ascii="Courier New" w:eastAsia="Courier New" w:hAnsi="Courier New" w:cs="Courier New"/>
          <w:noProof/>
          <w:color w:val="000000"/>
          <w:sz w:val="2"/>
          <w:szCs w:val="2"/>
          <w:highlight w:val="lightGray"/>
          <w:lang w:eastAsia="ru-RU"/>
        </w:rPr>
        <w:drawing>
          <wp:inline distT="0" distB="0" distL="0" distR="0" wp14:anchorId="3F94EBE7" wp14:editId="4F2AD70E">
            <wp:extent cx="4000500" cy="32480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753F" w:rsidRPr="00C250B3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</w:p>
    <w:p w:rsidR="00FC1616" w:rsidRPr="00FC1616" w:rsidRDefault="003A309F" w:rsidP="00FC16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 2</w:t>
      </w:r>
      <w:r w:rsidR="00FC1616" w:rsidRPr="00FC161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Период времени, в течение которого осуществляют свою деятельность </w:t>
      </w:r>
    </w:p>
    <w:p w:rsidR="00FC1616" w:rsidRPr="00FC1616" w:rsidRDefault="00FC1616" w:rsidP="00FC161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FC161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субъекты предпринимательской деятельности </w:t>
      </w:r>
    </w:p>
    <w:p w:rsidR="00062D02" w:rsidRDefault="00062D02" w:rsidP="002D683B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Default="001F753F" w:rsidP="002D683B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респондентов осуществляют свою деятельность на локальном рынке (</w:t>
      </w:r>
      <w:r w:rsidR="007C16D3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Фурмановский муниципальный район</w:t>
      </w:r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FC1616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63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36,7</w:t>
      </w:r>
      <w:r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 w:rsidR="00A810C9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60E3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рынке Ивановской области – 30%, на рынках нескольких суб</w:t>
      </w:r>
      <w:r w:rsidR="00663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ъектов Российской Федерации – 20</w:t>
      </w:r>
      <w:r w:rsidR="00B160E3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 w:rsid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10C9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FC1616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рынке Россий</w:t>
      </w:r>
      <w:r w:rsidR="00663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Федерации – 13,3</w:t>
      </w:r>
      <w:r w:rsid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062D02" w:rsidRPr="00B160E3" w:rsidRDefault="00062D02" w:rsidP="002D683B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AD5" w:rsidRDefault="001F753F" w:rsidP="00FA4AD5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конкурентной среды на представляемых ими рынках. </w:t>
      </w:r>
      <w:r w:rsidR="00A810C9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респондентов оценили конкурентную среду на рынках</w:t>
      </w:r>
      <w:r w:rsidR="00CE4312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«</w:t>
      </w:r>
      <w:r w:rsidR="003F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умеренную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4D5B4B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64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="0038589C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слабую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D5B4B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33,4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«</w:t>
      </w:r>
      <w:r w:rsidR="00A810C9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Высокой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состояние конкурентной среды было отмечено </w:t>
      </w:r>
      <w:r w:rsid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13,3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E4312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же 13,3</w:t>
      </w:r>
      <w:r w:rsidR="00CF750E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</w:t>
      </w:r>
      <w:r w:rsidR="00752566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пондентов </w:t>
      </w:r>
      <w:r w:rsidR="00CE4312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отмечают отсутствие конкуренции</w:t>
      </w:r>
      <w:r w:rsidR="00C558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28DE" w:rsidRPr="00D55A97" w:rsidRDefault="006528DE" w:rsidP="00FA4AD5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AD5" w:rsidRPr="00FA4AD5" w:rsidRDefault="001C3FFA" w:rsidP="00FA4AD5">
      <w:pPr>
        <w:widowControl w:val="0"/>
        <w:spacing w:after="0" w:line="240" w:lineRule="auto"/>
        <w:ind w:left="23" w:right="23" w:firstLine="119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highlight w:val="lightGray"/>
          <w:lang w:eastAsia="ru-RU"/>
        </w:rPr>
      </w:pPr>
      <w:r w:rsidRPr="00FA4AD5">
        <w:rPr>
          <w:rFonts w:ascii="Times New Roman" w:eastAsia="Times New Roman" w:hAnsi="Times New Roman"/>
          <w:b/>
          <w:noProof/>
          <w:color w:val="000000"/>
          <w:sz w:val="23"/>
          <w:szCs w:val="23"/>
          <w:lang w:eastAsia="ru-RU"/>
        </w:rPr>
        <w:drawing>
          <wp:inline distT="0" distB="0" distL="0" distR="0" wp14:anchorId="398921A2" wp14:editId="5CDC0CC1">
            <wp:extent cx="5844540" cy="1912620"/>
            <wp:effectExtent l="0" t="19050" r="381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683B" w:rsidRPr="002D683B" w:rsidRDefault="003F6418" w:rsidP="002D683B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3</w:t>
      </w:r>
      <w:r w:rsidR="002D683B"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. Оценка субъектами предпринимательской деятельности состояния</w:t>
      </w:r>
    </w:p>
    <w:p w:rsidR="002D683B" w:rsidRDefault="002D683B" w:rsidP="002D683B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конкурентной среды в Фурмановском муниципальном районе</w:t>
      </w:r>
    </w:p>
    <w:p w:rsidR="002D683B" w:rsidRPr="00C250B3" w:rsidRDefault="002D683B" w:rsidP="002D683B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highlight w:val="lightGray"/>
          <w:lang w:eastAsia="ru-RU"/>
        </w:rPr>
      </w:pPr>
    </w:p>
    <w:p w:rsidR="00062D02" w:rsidRDefault="00062D02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Вместе с тем</w:t>
      </w:r>
      <w:r w:rsidR="002D683B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</w:t>
      </w:r>
      <w:r w:rsidR="00524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(50</w:t>
      </w:r>
      <w:r w:rsidR="00D67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считают, что число конкурентов на представляемом ими рынке за последние три года увеличилось (на 1-3 конкурентов </w:t>
      </w:r>
      <w:r w:rsidR="00524518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4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более чем на 4 конкурента </w:t>
      </w:r>
      <w:r w:rsidR="00524518" w:rsidRPr="00B16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4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Неизменным считают количество конкурентов </w:t>
      </w:r>
      <w:r w:rsidR="00524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46,7</w:t>
      </w:r>
      <w:r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опрошенных, </w:t>
      </w:r>
      <w:r w:rsidR="002D683B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24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,3</w:t>
      </w:r>
      <w:r w:rsidR="00F85D75" w:rsidRPr="002D68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считают, что количество конкурентов сократилось на 1-3 конкурентов.</w:t>
      </w:r>
    </w:p>
    <w:p w:rsidR="00FE53EF" w:rsidRDefault="00FE53E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53EF" w:rsidRDefault="00FE53E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Мнение субъектов предпринимательства касаемо степени конкуренции на своем отраслевом рынке в Фурмановском муниципальном районе</w:t>
      </w:r>
      <w:r w:rsidR="00ED7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распределилось следующим образом.</w:t>
      </w:r>
    </w:p>
    <w:p w:rsidR="00ED79B9" w:rsidRDefault="008D7FDC" w:rsidP="002C351D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0E23E34" wp14:editId="02790E90">
            <wp:simplePos x="0" y="0"/>
            <wp:positionH relativeFrom="column">
              <wp:posOffset>441960</wp:posOffset>
            </wp:positionH>
            <wp:positionV relativeFrom="paragraph">
              <wp:posOffset>732790</wp:posOffset>
            </wp:positionV>
            <wp:extent cx="5486400" cy="1607820"/>
            <wp:effectExtent l="0" t="0" r="0" b="0"/>
            <wp:wrapTopAndBottom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2/3 респондентов считают, что степень конкуренции в их отраслевом рынке является высокой, 1/3 респондентов считают, что степень конкуренции в их отраслевом рынке является невысокой</w:t>
      </w:r>
      <w:r w:rsidR="002C3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01067" w:rsidRDefault="00601067" w:rsidP="006528DE">
      <w:pPr>
        <w:widowControl w:val="0"/>
        <w:spacing w:after="0" w:line="322" w:lineRule="exact"/>
        <w:ind w:right="20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2C351D" w:rsidRPr="002D683B" w:rsidRDefault="002C351D" w:rsidP="002C351D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4</w:t>
      </w:r>
      <w:r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. Оценка субъектами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предпринимательской </w:t>
      </w:r>
      <w:r w:rsidR="00044E9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деятельности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степени</w:t>
      </w:r>
    </w:p>
    <w:p w:rsidR="002C351D" w:rsidRDefault="002C351D" w:rsidP="002C351D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к</w:t>
      </w:r>
      <w:r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онкурен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ции в своем отраслевом рынке</w:t>
      </w:r>
      <w:r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в Фурмановском муниципальном районе</w:t>
      </w:r>
    </w:p>
    <w:p w:rsidR="002C351D" w:rsidRDefault="002C351D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3513D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мониторинга получены следующие оценки субъектами предпринимательской деятельности наличия (отсутствия) административных барьеров (таблица 1).</w:t>
      </w:r>
    </w:p>
    <w:p w:rsidR="008D7FDC" w:rsidRDefault="008D7FDC" w:rsidP="00CB3B37">
      <w:pPr>
        <w:widowControl w:val="0"/>
        <w:tabs>
          <w:tab w:val="left" w:leader="underscore" w:pos="2510"/>
        </w:tabs>
        <w:spacing w:after="0" w:line="274" w:lineRule="exact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</w:pPr>
    </w:p>
    <w:p w:rsidR="00CB3B37" w:rsidRPr="00F45366" w:rsidRDefault="00CB3B37" w:rsidP="00CB3B37">
      <w:pPr>
        <w:widowControl w:val="0"/>
        <w:tabs>
          <w:tab w:val="left" w:leader="underscore" w:pos="2510"/>
        </w:tabs>
        <w:spacing w:after="0" w:line="274" w:lineRule="exact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  <w:t>Таблица 1</w:t>
      </w:r>
    </w:p>
    <w:p w:rsidR="00F85D75" w:rsidRPr="00044E91" w:rsidRDefault="00F85D75" w:rsidP="00044E91">
      <w:pPr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Наиболее существенные административные барьеры для ведения текущей</w:t>
      </w:r>
      <w:r w:rsidR="00D83227" w:rsidRPr="00F45366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 xml:space="preserve"> </w:t>
      </w:r>
      <w:r w:rsidRPr="00F45366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деятельно</w:t>
      </w:r>
      <w:r w:rsidR="00044E91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сти или открытия нового бизнеса</w:t>
      </w:r>
    </w:p>
    <w:tbl>
      <w:tblPr>
        <w:tblOverlap w:val="never"/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4"/>
        <w:gridCol w:w="1909"/>
      </w:tblGrid>
      <w:tr w:rsidR="00F85D75" w:rsidRPr="00C250B3" w:rsidTr="008D7FDC">
        <w:trPr>
          <w:trHeight w:val="602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F85D75" w:rsidRPr="00C3513D" w:rsidRDefault="00F85D75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Административные барьеры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F85D75" w:rsidRPr="00C3513D" w:rsidRDefault="00F85D75" w:rsidP="008D7F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Доля</w:t>
            </w:r>
            <w:r w:rsidR="008D7FD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3513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респондентов,</w:t>
            </w:r>
            <w:r w:rsidR="008D7FD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3513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85D75" w:rsidRPr="00C250B3" w:rsidTr="008D7FDC">
        <w:trPr>
          <w:trHeight w:val="413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F85D75" w:rsidRPr="00C3513D" w:rsidRDefault="004E738E" w:rsidP="004E738E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ограничений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F85D75" w:rsidRPr="00C3513D" w:rsidRDefault="004E738E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36,6</w:t>
            </w:r>
          </w:p>
        </w:tc>
      </w:tr>
      <w:tr w:rsidR="00F85D75" w:rsidRPr="00C250B3" w:rsidTr="008D7FDC">
        <w:trPr>
          <w:trHeight w:val="397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F85D75" w:rsidRPr="00C3513D" w:rsidRDefault="004E738E" w:rsidP="008D7FDC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Высокие налоги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F85D75" w:rsidRPr="00C3513D" w:rsidRDefault="004E738E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33,3</w:t>
            </w:r>
          </w:p>
        </w:tc>
      </w:tr>
      <w:tr w:rsidR="00F85D75" w:rsidRPr="00C250B3" w:rsidTr="008D7FDC">
        <w:trPr>
          <w:trHeight w:val="635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F85D75" w:rsidRPr="00C3513D" w:rsidRDefault="004E738E" w:rsidP="008D7FDC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Нестабильность российского </w:t>
            </w:r>
            <w:r w:rsidR="008D7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законодательства, регулирующего </w:t>
            </w: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предпринимательскую деятельность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F85D75" w:rsidRPr="00C3513D" w:rsidRDefault="004E738E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4E738E" w:rsidRPr="00C250B3" w:rsidTr="008D7FDC">
        <w:trPr>
          <w:trHeight w:val="383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4E738E" w:rsidRPr="00C3513D" w:rsidRDefault="004E738E" w:rsidP="004E738E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3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4E738E" w:rsidRDefault="004E738E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6,7</w:t>
            </w:r>
          </w:p>
        </w:tc>
      </w:tr>
      <w:tr w:rsidR="00F85D75" w:rsidRPr="00C250B3" w:rsidTr="008D7FDC">
        <w:trPr>
          <w:trHeight w:val="396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F85D75" w:rsidRPr="00C3513D" w:rsidRDefault="00C3513D" w:rsidP="004E738E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5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Сложность/затянутость процедуры получений лицензий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F85D75" w:rsidRPr="00C3513D" w:rsidRDefault="00C3513D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4E73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,7</w:t>
            </w:r>
          </w:p>
        </w:tc>
      </w:tr>
      <w:tr w:rsidR="003209A9" w:rsidRPr="00C250B3" w:rsidTr="008D7FDC">
        <w:trPr>
          <w:trHeight w:val="403"/>
          <w:jc w:val="center"/>
        </w:trPr>
        <w:tc>
          <w:tcPr>
            <w:tcW w:w="7724" w:type="dxa"/>
            <w:shd w:val="clear" w:color="auto" w:fill="FFFFFF"/>
            <w:vAlign w:val="center"/>
          </w:tcPr>
          <w:p w:rsidR="003209A9" w:rsidRPr="00C3513D" w:rsidRDefault="003209A9" w:rsidP="004E738E">
            <w:pPr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0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3209A9" w:rsidRDefault="003209A9" w:rsidP="004E738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6,7</w:t>
            </w:r>
          </w:p>
        </w:tc>
      </w:tr>
    </w:tbl>
    <w:p w:rsidR="008D7FDC" w:rsidRDefault="008D7FDC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3513D" w:rsidRDefault="001F753F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представленных данных можно сделать вывод, что большинство респондентов</w:t>
      </w:r>
      <w:r w:rsidR="00991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отмечают, что с ограничениями в ведении своей предпринимательской деятельности они не встречались (36,6%). Другие п</w:t>
      </w:r>
      <w:r w:rsidR="006910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прежнему 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отмечают в качестве ограничений ведения предпринимательской деятельности высокие налоги </w:t>
      </w:r>
      <w:r w:rsidR="00991B48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991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33,3</w:t>
      </w:r>
      <w:r w:rsidR="00991B48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991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 Н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естабильность российского законодательства, регулирующего предпринимательскую деятельность </w:t>
      </w:r>
      <w:r w:rsidR="00991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отмечают всего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1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10% респондентов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3290C" w:rsidRDefault="00C3513D" w:rsidP="00D55A97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– 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 w:rsidR="00C3290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отмечают, что а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дминистративных барьеров</w:t>
      </w:r>
      <w:r w:rsidR="00C3290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нет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16,7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C3290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респондентов 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считают, что административные барьеры есть, но они прео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долимы без существенных затрат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 наличии </w:t>
      </w:r>
      <w:r w:rsidR="00C3290C" w:rsidRP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барьер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C3290C" w:rsidRP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преодолимы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лишь</w:t>
      </w:r>
      <w:r w:rsidR="00C3290C" w:rsidRP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осуществлении значительных затрат</w:t>
      </w:r>
      <w:r w:rsid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говорят так же 16,7%.</w:t>
      </w:r>
    </w:p>
    <w:p w:rsidR="001F753F" w:rsidRDefault="00C3290C" w:rsidP="00D55A97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6273C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течение последних 3 лет бизнесу стало проще преодолевать административные</w:t>
      </w:r>
      <w:r w:rsidR="00C3513D"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барьеры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чем раньше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либо административные барьеры были полностью устранены</w:t>
      </w:r>
      <w:r w:rsidRPr="00C3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(так считает большинство опрошенных).</w:t>
      </w:r>
    </w:p>
    <w:p w:rsidR="00062D02" w:rsidRDefault="00062D02" w:rsidP="00D55A97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290C" w:rsidRDefault="00C3290C" w:rsidP="00D55A97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C329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дискриминацией (неравным доступом, ущемлением прав) организации на стадии открытия бизнеса и первого года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сталкивались всего 13% опрошенных (4 субъекта).</w:t>
      </w:r>
    </w:p>
    <w:p w:rsidR="00893166" w:rsidRDefault="00893166" w:rsidP="00D55A97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304A3B" wp14:editId="4C9CAD4F">
            <wp:extent cx="5486400" cy="26670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4E91" w:rsidRDefault="00AD125E" w:rsidP="00044E91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5</w:t>
      </w:r>
      <w:r w:rsidR="00044E91"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. Оценка субъектами </w:t>
      </w:r>
      <w:r w:rsidR="00044E91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предпринимательской деятельности действий органов власти</w:t>
      </w:r>
    </w:p>
    <w:p w:rsidR="00E064D4" w:rsidRDefault="00E064D4" w:rsidP="00044E91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893166" w:rsidRDefault="00893166" w:rsidP="00D55A97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</w:t>
      </w:r>
      <w:r w:rsidRPr="00893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охарактеризовали деятельность органов власти на основном для бизнеса рынке, который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представляют как удовлетворительную или скорее удовлетворительную (93%).</w:t>
      </w:r>
      <w:r w:rsidRPr="008931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B6272" w:rsidRPr="003B6272" w:rsidRDefault="003B6272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585931">
      <w:pPr>
        <w:keepNext/>
        <w:keepLines/>
        <w:widowControl w:val="0"/>
        <w:spacing w:after="0" w:line="240" w:lineRule="auto"/>
        <w:ind w:left="23" w:right="23" w:firstLine="686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5F1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удовлетворенности потребителей качеством товаров, работ и услуг на товарных рынках </w:t>
      </w:r>
      <w:r w:rsid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состоянием ценовой конкуренции.</w:t>
      </w:r>
      <w:bookmarkEnd w:id="0"/>
    </w:p>
    <w:p w:rsidR="00D900CD" w:rsidRDefault="00D900CD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удовлетворенности потребителей качеством товаров, работ и услуг на товарных рынках 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5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Default="001F753F" w:rsidP="00B34B7C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анкетировании приняло участие </w:t>
      </w:r>
      <w:r w:rsidR="005B172D" w:rsidRPr="005B1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</w:t>
      </w:r>
      <w:r w:rsidR="00C039C0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женщин и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B172D" w:rsidRPr="005B1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мужчин от общего числа респондентов.</w:t>
      </w:r>
      <w:r w:rsidR="00B34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</w:t>
      </w:r>
      <w:r w:rsidR="00AD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(32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принадлежат к возрастной группе от </w:t>
      </w:r>
      <w:r w:rsidR="00AD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AD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лет, 2</w:t>
      </w:r>
      <w:r w:rsidR="00AD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от </w:t>
      </w:r>
      <w:r w:rsidR="00AD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до </w:t>
      </w:r>
      <w:r w:rsidR="00AD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лет, </w:t>
      </w:r>
      <w:r w:rsidR="00AD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6F1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D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до </w:t>
      </w:r>
      <w:r w:rsidR="00AD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87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лет, от 18 до 2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 лет </w:t>
      </w:r>
      <w:r w:rsidR="00AD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от 55 до 64 лет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респондентов составило </w:t>
      </w:r>
      <w:r w:rsidR="00AD75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12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F19EC" w:rsidRDefault="006F19EC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1B18232" wp14:editId="01DC917C">
            <wp:extent cx="5486400" cy="29908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09BD" w:rsidRDefault="00AD125E" w:rsidP="00E109BD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6</w:t>
      </w:r>
      <w:r w:rsidR="00E109BD" w:rsidRPr="002D683B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. </w:t>
      </w:r>
      <w:r w:rsidR="00E109BD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Характеристика респондентов</w:t>
      </w:r>
      <w:r w:rsidR="00AD7519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-потребителей</w:t>
      </w:r>
      <w:r w:rsidR="00E109BD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по полу и возрасту.</w:t>
      </w:r>
    </w:p>
    <w:p w:rsidR="00E109BD" w:rsidRPr="003B6272" w:rsidRDefault="00E109BD" w:rsidP="00E109BD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социальному статусу респонденты распределились следующим образом: работают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0B7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E70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0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250B3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енсионеры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250B3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0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="00E70727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учатся </w:t>
      </w:r>
      <w:r w:rsidR="00E70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E70727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0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4%, самозанятых граждан, домохозяек и безработных – по 2%.</w:t>
      </w:r>
    </w:p>
    <w:p w:rsidR="001F753F" w:rsidRPr="003B6272" w:rsidRDefault="000B7F4A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70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имеют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детей,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70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– 1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 </w:t>
      </w:r>
      <w:r w:rsidR="00E70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детей нет, от 3 </w:t>
      </w:r>
      <w:r w:rsidR="00E707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и более – 10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1F753F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Default="001F753F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опрош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енных имеют высшее образование (специалитет, магистратура) –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3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среднее 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профессиональное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образование имеют </w:t>
      </w:r>
      <w:r w:rsidR="00CF3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респондентов,</w:t>
      </w:r>
      <w:r w:rsidR="005665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3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высшее (бакалавриат) – 14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2% – </w:t>
      </w:r>
      <w:r w:rsidR="00CF3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научная степень</w:t>
      </w:r>
      <w:r w:rsidR="00C250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50B3" w:rsidRPr="003B6272" w:rsidRDefault="00C250B3" w:rsidP="00585931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среднемесячному доходу в расчете на одного члена семьи респонденты расп</w:t>
      </w:r>
      <w:r w:rsidR="0030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ределились следующим образом: 34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– среднемесячный д</w:t>
      </w:r>
      <w:r w:rsidR="0030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оход от 10 до 20 тыс. рублей, 28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–</w:t>
      </w:r>
      <w:r w:rsidR="0030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10 тыс. рублей, 26%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20 до 30 тыс. ру</w:t>
      </w:r>
      <w:r w:rsidR="00301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блей, 6% – от 30 до 45 тыс. рублей, 4% – от 45 до 60 тыс. рублей и 2% – от 60 тыс. рублей.</w:t>
      </w:r>
    </w:p>
    <w:p w:rsidR="009300FD" w:rsidRDefault="009300FD" w:rsidP="005354E2">
      <w:pPr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F753F" w:rsidRDefault="001F753F" w:rsidP="00585931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мнению респондентов меньше всего организаций представляют следующие рынки:</w:t>
      </w:r>
    </w:p>
    <w:p w:rsidR="004137CA" w:rsidRPr="005C1182" w:rsidRDefault="004137CA" w:rsidP="00C30119">
      <w:pPr>
        <w:pStyle w:val="a9"/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среднего про</w:t>
      </w:r>
      <w:r w:rsidR="00AA4A2C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фессионального образования» - 66</w:t>
      </w: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AA4A2C" w:rsidRPr="005C1182" w:rsidRDefault="00B3327C" w:rsidP="00C30119">
      <w:pPr>
        <w:pStyle w:val="a9"/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66505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услуг детского отдыха и оздоровления</w:t>
      </w: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AA4A2C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60%;</w:t>
      </w:r>
    </w:p>
    <w:p w:rsidR="00AA4A2C" w:rsidRPr="005C1182" w:rsidRDefault="00AA4A2C" w:rsidP="00C30119">
      <w:pPr>
        <w:pStyle w:val="a9"/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5C1182">
        <w:rPr>
          <w:rFonts w:ascii="Times New Roman" w:hAnsi="Times New Roman"/>
          <w:sz w:val="28"/>
          <w:szCs w:val="28"/>
        </w:rPr>
        <w:t>рынок медицинских услуг</w:t>
      </w: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- 58%;</w:t>
      </w:r>
    </w:p>
    <w:p w:rsidR="00706ECD" w:rsidRPr="00B60F96" w:rsidRDefault="00AA4A2C" w:rsidP="00B60F96">
      <w:pPr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архитектурно-строительного проектирования» - 42%;</w:t>
      </w:r>
    </w:p>
    <w:p w:rsidR="004137CA" w:rsidRPr="005C1182" w:rsidRDefault="00B60F96" w:rsidP="00C30119">
      <w:pPr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строительства»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137CA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обработки древесины и производства изделий из дерева» - </w:t>
      </w:r>
      <w:r w:rsidR="00AA4A2C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="005C1182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D55A97" w:rsidRDefault="00D55A97" w:rsidP="00585931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24F6" w:rsidRDefault="001F753F" w:rsidP="00585931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</w:t>
      </w:r>
      <w:r w:rsidR="004137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время</w:t>
      </w:r>
      <w:r w:rsidR="00E924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достаточным количеством организаций представлены следующие рынки:</w:t>
      </w:r>
    </w:p>
    <w:p w:rsidR="005C1182" w:rsidRPr="005C1182" w:rsidRDefault="005C1182" w:rsidP="00C30119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оказания услуг по перевозке пассажиров и багажа легковым такси на территории субъекта Российской Федерации» - 78%;</w:t>
      </w:r>
    </w:p>
    <w:p w:rsidR="005C1182" w:rsidRPr="005C1182" w:rsidRDefault="005C1182" w:rsidP="00C30119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розничной торговли лекарственными препаратами, медицинскими изделиями и сопутствующими товарами» - 72%;</w:t>
      </w:r>
    </w:p>
    <w:p w:rsidR="005C1182" w:rsidRPr="005C1182" w:rsidRDefault="005C1182" w:rsidP="00C30119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связи» - 64%;</w:t>
      </w:r>
    </w:p>
    <w:p w:rsidR="005C1182" w:rsidRPr="005C1182" w:rsidRDefault="005C1182" w:rsidP="00C30119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«рынок услуг дошкольного образования» - 62%;</w:t>
      </w:r>
    </w:p>
    <w:p w:rsidR="005C1182" w:rsidRPr="005C1182" w:rsidRDefault="005C1182" w:rsidP="00C30119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оказания услуг по перевозке пассажиров автомобильным транспортом по межмуниципальным маршрутам регулярных перевозок» - 58%;</w:t>
      </w:r>
    </w:p>
    <w:p w:rsidR="005C1182" w:rsidRPr="005C1182" w:rsidRDefault="005C1182" w:rsidP="00C30119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ремонта автотранспортных средств» - 54%;</w:t>
      </w:r>
    </w:p>
    <w:p w:rsidR="005C1182" w:rsidRPr="005C1182" w:rsidRDefault="005C1182" w:rsidP="00C30119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купли – продажи электрической энергии (мощности) на розничном рынке электрической энергии (мощности)» - 52%;</w:t>
      </w:r>
    </w:p>
    <w:p w:rsidR="005C1182" w:rsidRPr="005C1182" w:rsidRDefault="005C1182" w:rsidP="00C30119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теплоснабжения (производство тепловой энергии)» - 50%;</w:t>
      </w:r>
    </w:p>
    <w:p w:rsidR="005C1182" w:rsidRPr="00B60F96" w:rsidRDefault="005C1182" w:rsidP="00B60F96">
      <w:pPr>
        <w:widowControl w:val="0"/>
        <w:numPr>
          <w:ilvl w:val="0"/>
          <w:numId w:val="4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оказания услуг по перевозке пассажиров автомобильным транспортом по муниципальным маршрутам регулярных перевозок»</w:t>
      </w:r>
      <w:r w:rsidR="00B60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60F96" w:rsidRPr="00B60F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F96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когенерации» </w:t>
      </w: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- 46%;</w:t>
      </w:r>
    </w:p>
    <w:p w:rsidR="00096186" w:rsidRPr="00B60F96" w:rsidRDefault="005C1182" w:rsidP="00B60F96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легкой промышленности» - 38%;</w:t>
      </w:r>
    </w:p>
    <w:p w:rsidR="000451C1" w:rsidRPr="005C1182" w:rsidRDefault="00B60F96" w:rsidP="00C30119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«сфера наружной рекламы»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09E0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нефтепродуктов» - 36%</w:t>
      </w:r>
      <w:r w:rsidR="00096186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E4A63" w:rsidRDefault="002E4A63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F99" w:rsidRDefault="001F753F" w:rsidP="00585931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Сложная ситуация сложилась на рынк</w:t>
      </w:r>
      <w:r w:rsidR="00B84F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ах, где в своем большинстве респонденты затруднились ответить:</w:t>
      </w:r>
    </w:p>
    <w:p w:rsidR="003707D8" w:rsidRPr="005C1182" w:rsidRDefault="003707D8" w:rsidP="00C30119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това</w:t>
      </w:r>
      <w:r w:rsidR="001C3A18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рной аквакультуры»</w:t>
      </w:r>
      <w:r w:rsidR="00EE0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C3A18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0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E0AED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вылова водных биоресурсов»</w:t>
      </w:r>
      <w:r w:rsidR="00EE0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E0AED" w:rsidRPr="00EE0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0AED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производства бетона» </w:t>
      </w:r>
      <w:r w:rsidR="001C3A18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- 34</w:t>
      </w: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3707D8" w:rsidRPr="00EE0AED" w:rsidRDefault="00EE0AED" w:rsidP="00EE0AED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1182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производства кирпича»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EE0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добычи общераспространённых полезных ископаемых на участках недр местного значения» </w:t>
      </w:r>
      <w:r w:rsidR="005C1182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- 32%;</w:t>
      </w:r>
    </w:p>
    <w:p w:rsidR="001C3A18" w:rsidRPr="00EE0AED" w:rsidRDefault="005C1182" w:rsidP="00EE0AED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переработки водных биоресурсов» - 30</w:t>
      </w:r>
      <w:r w:rsidR="007D21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B84F99" w:rsidRPr="005C1182" w:rsidRDefault="00EE0AED" w:rsidP="00C30119">
      <w:pPr>
        <w:pStyle w:val="a9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семеноводства»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4F99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</w:t>
      </w:r>
      <w:r w:rsidR="00096186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племенного животн</w:t>
      </w:r>
      <w:r w:rsidR="001C3A18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оводства» - 2</w:t>
      </w:r>
      <w:r w:rsidR="00096186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5C1182" w:rsidRP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1F753F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1182" w:rsidRDefault="003707D8" w:rsidP="00585931">
      <w:pPr>
        <w:widowControl w:val="0"/>
        <w:tabs>
          <w:tab w:val="left" w:pos="1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Спорная ситуация</w:t>
      </w:r>
      <w:r w:rsidR="005C11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респонденты не смогли прийти к однозначному выводу, сложилась на следующих рынках:</w:t>
      </w:r>
    </w:p>
    <w:p w:rsidR="00210AD6" w:rsidRPr="00210AD6" w:rsidRDefault="00210AD6" w:rsidP="00C30119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</w:t>
      </w:r>
      <w:r w:rsidR="003707D8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 дополнительного об</w:t>
      </w:r>
      <w:r w:rsidR="00083419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разования детей» </w:t>
      </w: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83419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44</w:t>
      </w:r>
      <w:r w:rsidR="003707D8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респондентов </w:t>
      </w:r>
      <w:r w:rsidR="003707D8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считают, что данных органи</w:t>
      </w:r>
      <w:r w:rsidR="00083419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заций мало, но в то же время 42</w:t>
      </w:r>
      <w:r w:rsidR="003707D8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считают, ч</w:t>
      </w: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таких организаций достаточно;</w:t>
      </w:r>
    </w:p>
    <w:p w:rsidR="003707D8" w:rsidRPr="00210AD6" w:rsidRDefault="003707D8" w:rsidP="00C30119">
      <w:pPr>
        <w:pStyle w:val="a9"/>
        <w:widowControl w:val="0"/>
        <w:numPr>
          <w:ilvl w:val="0"/>
          <w:numId w:val="15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</w:t>
      </w:r>
      <w:r w:rsidR="00210AD6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</w:t>
      </w: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 жили</w:t>
      </w:r>
      <w:r w:rsidR="00083419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щно-коммунального хозяйства»:</w:t>
      </w:r>
      <w:r w:rsidR="00210AD6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083419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40</w:t>
      </w: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считают, что данных организаций </w:t>
      </w:r>
      <w:r w:rsidR="00083419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достаточно, но в то же время 36</w:t>
      </w: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считают, что таких организаций</w:t>
      </w:r>
      <w:r w:rsidR="00083419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мало</w:t>
      </w:r>
      <w:r w:rsidR="00210AD6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C1182" w:rsidRPr="00210AD6" w:rsidRDefault="005C1182" w:rsidP="00C30119">
      <w:pPr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услуг по сбору и транспортированию твердых коммунальных отходов» - 40% респондентов считают, что организаций, представляющих данный рынок мало, при этом 38% респондентов считают, что данных организаций достаточно;</w:t>
      </w:r>
    </w:p>
    <w:p w:rsidR="005C1182" w:rsidRPr="00210AD6" w:rsidRDefault="005C1182" w:rsidP="00C30119">
      <w:pPr>
        <w:widowControl w:val="0"/>
        <w:numPr>
          <w:ilvl w:val="0"/>
          <w:numId w:val="3"/>
        </w:numPr>
        <w:tabs>
          <w:tab w:val="left" w:pos="19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социальных услуг» - 44% респондентов считают, что данных организаций достаточно, при этом 38% респондентов считают, что организаций, представляющих данный рынок мало);</w:t>
      </w:r>
    </w:p>
    <w:p w:rsidR="005C1182" w:rsidRPr="00210AD6" w:rsidRDefault="005C1182" w:rsidP="00C30119">
      <w:pPr>
        <w:pStyle w:val="a9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выполнения работ по благоустройству городской среды» - 38% считают, что данных организаций мало, и в то же время 38% считают, что таких организаций достаточно;</w:t>
      </w:r>
    </w:p>
    <w:p w:rsidR="005C1182" w:rsidRPr="00210AD6" w:rsidRDefault="005C1182" w:rsidP="00C30119">
      <w:pPr>
        <w:pStyle w:val="a9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дорожной деятельности (за исключением проектирования) - 38% считают, что данных организаций достаточно, и в то же время 36% </w:t>
      </w:r>
      <w:r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считают, что таких организаций мало</w:t>
      </w:r>
      <w:r w:rsidR="00210AD6" w:rsidRPr="00210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707D8" w:rsidRPr="00D900CD" w:rsidRDefault="003707D8" w:rsidP="00585931">
      <w:pPr>
        <w:widowControl w:val="0"/>
        <w:spacing w:after="0" w:line="240" w:lineRule="auto"/>
        <w:ind w:left="23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5931" w:rsidRDefault="001F753F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проведенному анкетированию</w:t>
      </w:r>
      <w:r w:rsidR="000712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респонденты считают уровень цен </w:t>
      </w:r>
      <w:r w:rsidR="00071281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неудовлетворительным </w:t>
      </w:r>
      <w:r w:rsidR="008172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скорее неудовлетворительными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следующих рынках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585931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5D17" w:rsidRPr="0048612E" w:rsidRDefault="00895D17" w:rsidP="00895D1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«медицинских услуг»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- 46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считают уровень цен скорее неудовлетворительным; </w:t>
      </w:r>
    </w:p>
    <w:p w:rsidR="00895D17" w:rsidRDefault="00895D17" w:rsidP="00895D1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жилищ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но-коммунального хозяйства»,</w:t>
      </w:r>
      <w:r w:rsidRPr="00486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теплоснабжения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производство тепловой энергии)» - 44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 уровень цен скорее неудовлетворительным;</w:t>
      </w:r>
    </w:p>
    <w:p w:rsidR="00895D17" w:rsidRPr="00585931" w:rsidRDefault="00895D17" w:rsidP="00895D1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по сбо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 и транспортированию ТКО» - 40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 уровень цен скорее неудовлетворительным;</w:t>
      </w:r>
    </w:p>
    <w:p w:rsidR="00895D17" w:rsidRPr="00585931" w:rsidRDefault="00895D17" w:rsidP="00895D1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розничной торговли лекарственными препаратами, медицинскими изделиями и сопутствующими товарами»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86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купли – продажи электрической энергии (мощности) на розничном рынке электрической энергии (мощности)»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«дорожной деятельности (за исключением проектирования)»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детского отдыха и оздоровления»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«оказания услуг по перевозке пассажиров автомобильным транспортом по межмуниципальным маршрутам регулярных перевозок»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«оказания услуг по перевозке пассажиров и багажа легковым такси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субъекта Российской Федерации»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- 36% респондентов считают уровень цен скорее неудовлетворительным; </w:t>
      </w:r>
    </w:p>
    <w:p w:rsidR="00895D17" w:rsidRDefault="00895D17" w:rsidP="00895D1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- 34% респондентов считают уровень цен скорее неудовлетворительным;</w:t>
      </w:r>
    </w:p>
    <w:p w:rsidR="00895D17" w:rsidRDefault="00895D17" w:rsidP="00895D1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«выполнения работ по благоустройству городской среды»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545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«оказания услуг по перевозке пассажиров автомобильным транспортом по муниципальным маршрутам регулярных перевозок»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«среднего профессионального образования»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- 32%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респондентов считают уровень цен скорее неудовлетворительным</w:t>
      </w:r>
      <w:r w:rsidRPr="009F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85931" w:rsidRPr="00585931" w:rsidRDefault="00585931" w:rsidP="00895D1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добычи общераспространённых полезных ископаемых на участках недр местного значения»</w:t>
      </w:r>
      <w:r w:rsidR="00486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12E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племенного животноводства», «рынок семеноводства»</w:t>
      </w:r>
      <w:r w:rsidR="00486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8612E" w:rsidRPr="00486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12E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вылова водных биоресурсов», «рынок п</w:t>
      </w:r>
      <w:r w:rsidR="00486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ереработки водных биоресурсов», </w:t>
      </w:r>
      <w:r w:rsidR="0048612E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товарной аквакультуры», «рынок производства кирпича</w:t>
      </w:r>
      <w:r w:rsidR="00486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="0048612E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производства бетона»</w:t>
      </w:r>
      <w:r w:rsidR="00315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«рынок нефтепродуктов»</w:t>
      </w:r>
      <w:r w:rsidR="0048612E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- 30% респондентов считают уровень цен неудовлетворительным;</w:t>
      </w:r>
    </w:p>
    <w:p w:rsidR="0081729A" w:rsidRPr="00895D17" w:rsidRDefault="00895D17" w:rsidP="00895D1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«дополнительного образования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- 30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 уровень цен скорее неудовлетворительным;</w:t>
      </w:r>
    </w:p>
    <w:p w:rsidR="0081729A" w:rsidRPr="00895D17" w:rsidRDefault="00585931" w:rsidP="00895D17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«архитектурно – с</w:t>
      </w:r>
      <w:r w:rsidR="00486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троительного проектирования»,</w:t>
      </w:r>
      <w:r w:rsidR="0048612E" w:rsidRPr="00486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12E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строительства»</w:t>
      </w:r>
      <w:r w:rsidR="00B33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332DC" w:rsidRPr="00B332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F6E0C"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«рынок ремонта автотранспортных средств», </w:t>
      </w:r>
      <w:r w:rsidR="00B332DC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«рынок обработки древесины и производства изделий из дерева»</w:t>
      </w:r>
      <w:r w:rsidR="004861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81729A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 уровень цен неудовлетворительным;</w:t>
      </w:r>
    </w:p>
    <w:p w:rsidR="009F6E0C" w:rsidRDefault="009F6E0C" w:rsidP="0082583D">
      <w:pPr>
        <w:pStyle w:val="a9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рынок </w:t>
      </w: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легкой промышленности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«сфера наружной рекламы»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- 26</w:t>
      </w:r>
      <w:r w:rsidR="0081729A"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считают уровень цен </w:t>
      </w:r>
      <w:r w:rsid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неудовлетворительным.</w:t>
      </w:r>
    </w:p>
    <w:p w:rsidR="009F6E0C" w:rsidRDefault="009F6E0C" w:rsidP="0082583D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2636" w:rsidRDefault="00D54573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Удовлетворительным или с</w:t>
      </w:r>
      <w:r w:rsidR="003041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корее удовлетворительным считают уровень цен товаров и услуг на рынках:</w:t>
      </w:r>
    </w:p>
    <w:p w:rsidR="00D54573" w:rsidRDefault="00D54573" w:rsidP="00D54573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«социальных услуг» - 38%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считают уровень цен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54573" w:rsidRDefault="00D54573" w:rsidP="00D54573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41B3"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2583D"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дошкольного образования» - 32%</w:t>
      </w:r>
      <w:r w:rsidR="0082583D"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считают уровень цен скорее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31CE3" w:rsidRPr="00D54573" w:rsidRDefault="00D54573" w:rsidP="00D54573">
      <w:pPr>
        <w:pStyle w:val="a9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583D" w:rsidRPr="00631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связи»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- 30%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 считают уровень цен </w:t>
      </w:r>
      <w:r w:rsidRPr="005859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041B3" w:rsidRPr="00D22D44" w:rsidRDefault="003041B3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06" w:rsidRDefault="001F753F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</w:t>
      </w:r>
      <w:r w:rsidR="005D0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удовлетворены и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скорее удовлетворены качеством</w:t>
      </w:r>
      <w:r w:rsidR="000979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товаров и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 на рынках </w:t>
      </w:r>
      <w:r w:rsidR="0002146B"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="001E0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розничной торговли лекарственными препаратами, медицинскими изделиями и сопутствующими товарами (64%);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дошкольного образования (62%);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дополнительного образования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 связи (60%);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социальных услуг (58%);</w:t>
      </w:r>
    </w:p>
    <w:p w:rsidR="00C039C0" w:rsidRPr="001D4326" w:rsidRDefault="00C039C0" w:rsidP="001D432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 w:rsid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4326"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оказания услуг по перевозке пассажиров автомобильным транспортом по муниципальным маршрутам регулярных перевозок </w:t>
      </w: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(56%);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среднего профессионального образования (52%);</w:t>
      </w:r>
    </w:p>
    <w:p w:rsidR="00C039C0" w:rsidRPr="001D4326" w:rsidRDefault="00C039C0" w:rsidP="001D432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</w:r>
      <w:r w:rsid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4326"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купли-продажи электрической энергии (мощности) на розничном рынке электрической энергии (мощности) </w:t>
      </w: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(48%);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ремонта автотранспортных средств (44%);</w:t>
      </w:r>
    </w:p>
    <w:p w:rsidR="00C039C0" w:rsidRPr="001D4326" w:rsidRDefault="00C039C0" w:rsidP="001D432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легкой промышленности</w:t>
      </w:r>
      <w:r w:rsid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86CE4"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4326"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сферы наружной рекламы </w:t>
      </w:r>
      <w:r w:rsidR="00E86CE4"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(42</w:t>
      </w: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  <w:r w:rsid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3072" w:rsidRDefault="005E3072" w:rsidP="005E3072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806" w:rsidRPr="001D4326" w:rsidRDefault="005E3072" w:rsidP="001D4326">
      <w:pPr>
        <w:widowControl w:val="0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</w:t>
      </w:r>
      <w:r w:rsidR="005D0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264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0A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 и</w:t>
      </w:r>
      <w:r w:rsidR="00FD116D"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r w:rsidR="00FD11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30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качеством товаров и услуг на рынках Фурмановского </w:t>
      </w: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района: </w:t>
      </w:r>
    </w:p>
    <w:p w:rsidR="005E3072" w:rsidRPr="001D4326" w:rsidRDefault="005E3072" w:rsidP="001D432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</w:t>
      </w:r>
      <w:r w:rsidR="005D0AEE"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(68%</w:t>
      </w:r>
      <w:r w:rsidR="00FD116D"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жилищно-коммунального хозяйства (60%);</w:t>
      </w:r>
    </w:p>
    <w:p w:rsidR="00FD116D" w:rsidRPr="001D4326" w:rsidRDefault="00FD116D" w:rsidP="001D432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по сбору и транспортированию Т</w:t>
      </w:r>
      <w:r w:rsidR="006B7AEA"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 (58%</w:t>
      </w: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детского отдыха и оздоровления (52%);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производства кирпича, переработки водных биоресурсов, племенного животноводства, вылова водных биоресурсов (50%);</w:t>
      </w:r>
    </w:p>
    <w:p w:rsidR="001D4326" w:rsidRPr="001D4326" w:rsidRDefault="008C0E5A" w:rsidP="001D432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строительства</w:t>
      </w:r>
      <w:r w:rsidR="001D4326"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семеноводства, товарной аквакультуры, производства бетона (48%);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добычи общераспространённых полезных ископаемых на участках недр местного значения, </w:t>
      </w:r>
      <w:r w:rsidRPr="001D4326">
        <w:rPr>
          <w:rFonts w:ascii="Times New Roman" w:eastAsia="Times New Roman" w:hAnsi="Times New Roman"/>
          <w:sz w:val="28"/>
          <w:szCs w:val="28"/>
          <w:lang w:eastAsia="ru-RU"/>
        </w:rPr>
        <w:t>архитектурно-строительного проектирования (46%);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обработки древесины и производства изделий из дерева (44%);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нефтепродуктов (40%);</w:t>
      </w:r>
    </w:p>
    <w:p w:rsidR="001D4326" w:rsidRPr="001D4326" w:rsidRDefault="001D4326" w:rsidP="001D432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дорожной деятельности (за исключением проектирования) (32%).</w:t>
      </w:r>
    </w:p>
    <w:p w:rsidR="001D4326" w:rsidRPr="006B7AEA" w:rsidRDefault="001D4326" w:rsidP="001D4326">
      <w:pPr>
        <w:pStyle w:val="a9"/>
        <w:widowControl w:val="0"/>
        <w:tabs>
          <w:tab w:val="left" w:pos="993"/>
        </w:tabs>
        <w:spacing w:after="0" w:line="240" w:lineRule="auto"/>
        <w:ind w:left="698" w:right="20"/>
        <w:jc w:val="both"/>
        <w:rPr>
          <w:rFonts w:ascii="Times New Roman" w:eastAsia="Times New Roman" w:hAnsi="Times New Roman"/>
          <w:color w:val="000000"/>
          <w:sz w:val="28"/>
          <w:szCs w:val="28"/>
          <w:highlight w:val="red"/>
          <w:lang w:eastAsia="ru-RU"/>
        </w:rPr>
      </w:pPr>
    </w:p>
    <w:p w:rsidR="00B5596C" w:rsidRPr="001D4326" w:rsidRDefault="003926FF" w:rsidP="001D4326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потребителей</w:t>
      </w:r>
      <w:r w:rsid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смогло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неоднозначно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ответить по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="008C0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товаров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0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 на</w:t>
      </w:r>
      <w:r w:rsid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следующих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рынках Фурмановского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B5596C" w:rsidRPr="001D4326" w:rsidRDefault="00B5596C" w:rsidP="001D432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теплоснабжения (производство тепловой энергии) (46% удовлетворены или скорее удовлетворены и 46% не удовлетворены или скорее не удовлетворены);</w:t>
      </w:r>
    </w:p>
    <w:p w:rsidR="0026483A" w:rsidRPr="001D4326" w:rsidRDefault="0026483A" w:rsidP="001D432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работ по благоустройству городской среды (48% не удовлетворены или скорее не удовлетворены и 44% удовлетворены или скорее удовлетворены);</w:t>
      </w:r>
    </w:p>
    <w:p w:rsidR="0026483A" w:rsidRPr="001D4326" w:rsidRDefault="006B7AEA" w:rsidP="001D4326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услуг по перевозке пассажиров и багажа легковым такси на территории субъекта Российской Федерации (48% удовлетворены или скорее удовлетворены и 44% не удовлетворены или скорее не удовлетворены)</w:t>
      </w:r>
      <w:r w:rsidR="001D4326" w:rsidRPr="001D43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9793B" w:rsidRDefault="0009793B" w:rsidP="008C0E5A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793B" w:rsidRPr="006C51B0" w:rsidRDefault="0009793B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потребителей скорее удовлетворены</w:t>
      </w:r>
      <w:r w:rsidR="008A551B"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удовлетворены</w:t>
      </w: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возможностью выбора товаров и услуг на рынках Фурмановского муниципального района</w:t>
      </w:r>
      <w:r w:rsidR="008C0E5A"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дошкольного образования (64%);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розничной торговли лекарственными препаратами, медицинскими изделиями и сопутствующими товарами (62%);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связи (56%);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услуг по перевозке пассажиров автомобильным транспортом по межмуниципальным маршрутам регулярных перевозок (54%);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услуг по перевозке пассажиров автомобильным транспортом по муниципальным маршрутам регулярных перевозок (54%);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дополнительного образования детей (52%);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дорожной деятельности (за исключением проектирования) (52%);</w:t>
      </w:r>
    </w:p>
    <w:p w:rsidR="0013434B" w:rsidRPr="006C51B0" w:rsidRDefault="0013434B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оказания услуг по перевозке пассажиров и багажа легковым такси на территории субъекта Российской Федерации</w:t>
      </w:r>
      <w:r w:rsidR="004C6FC3"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(52</w:t>
      </w: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социальных услуг (48%);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работ по благоустройству городской среды (48%);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купли-продажи электрической энергии (мощности) на розничном рынке электрической энергии (мощности) (48%);</w:t>
      </w:r>
    </w:p>
    <w:p w:rsidR="0013434B" w:rsidRPr="006C51B0" w:rsidRDefault="0013434B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теплоснабжения (производство тепловой энергии) (4</w:t>
      </w:r>
      <w:r w:rsidR="008A551B"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13434B" w:rsidRPr="006C51B0" w:rsidRDefault="0013434B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 (4</w:t>
      </w:r>
      <w:r w:rsidR="004C6FC3"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13434B" w:rsidRPr="006C51B0" w:rsidRDefault="0013434B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легкой промышленности</w:t>
      </w:r>
      <w:r w:rsidR="004C6FC3"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(44</w:t>
      </w: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ремонта автотранспортных средств (42%);</w:t>
      </w:r>
    </w:p>
    <w:p w:rsidR="004C6FC3" w:rsidRPr="006C51B0" w:rsidRDefault="004C6FC3" w:rsidP="006C51B0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нефтепродуктов (40%)</w:t>
      </w:r>
      <w:r w:rsid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1B0" w:rsidRDefault="006C51B0" w:rsidP="007E77F6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0E5A" w:rsidRDefault="008C0E5A" w:rsidP="007E77F6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скорее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удовлетворены </w:t>
      </w:r>
      <w:r w:rsidR="008A55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не удовлетворены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возможностью выбора товаров и </w:t>
      </w:r>
      <w:r w:rsidRPr="00D22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на рынках Фурмановского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B0744" w:rsidRPr="006C51B0" w:rsidRDefault="008A551B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 (66</w:t>
      </w:r>
      <w:r w:rsidR="000B0744"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детского отдыха и оздоровления (52%);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услуг жилищно-коммунального хозяйства (50%);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по сбору и транспортированию ТКО (48%);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вылова водных биоресурсов (48%);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переработки водных биоресурсов (46%);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сферы наружной рекламы (44%);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sz w:val="28"/>
          <w:szCs w:val="28"/>
          <w:lang w:eastAsia="ru-RU"/>
        </w:rPr>
        <w:t>обработки древесины и производства изделий из дерева (44%);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производства бетона (44%);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добычи общераспространённых полезных ископаемых на участках недр местного значения (42%);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архитектурно-строительного проектирования (42%);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рынок строительства (42%);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товарной аквакультуры (42%);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племенного животноводства (42%);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производства кирпича (40%);</w:t>
      </w:r>
    </w:p>
    <w:p w:rsidR="006C51B0" w:rsidRPr="006C51B0" w:rsidRDefault="006C51B0" w:rsidP="006C51B0">
      <w:pPr>
        <w:pStyle w:val="a9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семеноводства (40%).</w:t>
      </w:r>
    </w:p>
    <w:p w:rsidR="006C51B0" w:rsidRDefault="006C51B0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77F6" w:rsidRDefault="007E77F6" w:rsidP="00D55A97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Мнение респондентов разделилось касаемо следующих рынков:</w:t>
      </w:r>
    </w:p>
    <w:p w:rsidR="008A551B" w:rsidRPr="006C51B0" w:rsidRDefault="008A551B" w:rsidP="006C51B0">
      <w:pPr>
        <w:pStyle w:val="a9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 среднего профессионального образования – 44% респондентов (скорее) удовлетворены ассортиментом, в то время как 40% респондентов (скорее) не удовлетворены ассортиментом</w:t>
      </w:r>
      <w:r w:rsidR="006C51B0" w:rsidRPr="006C51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A2390" w:rsidRDefault="000A2390" w:rsidP="009E389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2390" w:rsidRPr="00FD3B2E" w:rsidRDefault="009E3891" w:rsidP="00FD3B2E">
      <w:pPr>
        <w:widowControl w:val="0"/>
        <w:spacing w:after="0" w:line="240" w:lineRule="auto"/>
        <w:ind w:left="23" w:right="20" w:firstLine="686"/>
        <w:jc w:val="both"/>
        <w:rPr>
          <w:rFonts w:ascii="Times New Roman" w:hAnsi="Times New Roman"/>
          <w:spacing w:val="2"/>
          <w:sz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hd w:val="clear" w:color="auto" w:fill="FFFFFF"/>
        </w:rPr>
        <w:t>По мнению респондентов, слабо развита конкуренция</w:t>
      </w:r>
      <w:r w:rsidRPr="009E3891">
        <w:rPr>
          <w:rFonts w:ascii="Times New Roman" w:hAnsi="Times New Roman"/>
          <w:spacing w:val="2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hd w:val="clear" w:color="auto" w:fill="FFFFFF"/>
        </w:rPr>
        <w:t xml:space="preserve">на рынке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жилищно-коммунального хозяйства</w:t>
      </w:r>
      <w:r w:rsidR="00FD3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(22%) и медицинских услуг (14%)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A2390" w:rsidRPr="009E3891">
        <w:rPr>
          <w:rFonts w:ascii="Times New Roman" w:hAnsi="Times New Roman"/>
          <w:spacing w:val="2"/>
          <w:sz w:val="28"/>
          <w:shd w:val="clear" w:color="auto" w:fill="FFFFFF"/>
        </w:rPr>
        <w:t xml:space="preserve"> </w:t>
      </w:r>
      <w:r w:rsidRPr="009E3891">
        <w:rPr>
          <w:rFonts w:ascii="Times New Roman" w:hAnsi="Times New Roman"/>
          <w:spacing w:val="2"/>
          <w:sz w:val="28"/>
          <w:shd w:val="clear" w:color="auto" w:fill="FFFFFF"/>
        </w:rPr>
        <w:t>что негативно сказывается на качестве</w:t>
      </w:r>
      <w:r w:rsidR="00FD3B2E">
        <w:rPr>
          <w:rFonts w:ascii="Times New Roman" w:hAnsi="Times New Roman"/>
          <w:spacing w:val="2"/>
          <w:sz w:val="28"/>
          <w:shd w:val="clear" w:color="auto" w:fill="FFFFFF"/>
        </w:rPr>
        <w:t xml:space="preserve"> услуг.</w:t>
      </w:r>
    </w:p>
    <w:p w:rsidR="0072717F" w:rsidRDefault="003926FF" w:rsidP="00ED7484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мнению большинства респондентов цены в Ивановской области выше по сравнению с другими регионами, на </w:t>
      </w:r>
      <w:r w:rsidR="009E3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2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жилищно-</w:t>
      </w:r>
      <w:r w:rsidR="00AD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коммунального хозяйства</w:t>
      </w:r>
      <w:r w:rsidR="004C74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FD3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="003F2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</w:t>
      </w:r>
      <w:r w:rsidR="00717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(Рис.7</w:t>
      </w:r>
      <w:r w:rsidR="003F23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171CD" w:rsidRDefault="007171CD" w:rsidP="00ED7484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717F" w:rsidRPr="00E4228A" w:rsidRDefault="00C44879" w:rsidP="00C44879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C5E2F2" wp14:editId="13A0076E">
            <wp:extent cx="5486400" cy="23526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71CD" w:rsidRDefault="007171CD" w:rsidP="00ED7484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706ECD" w:rsidRPr="00D55A97" w:rsidRDefault="004C43FE" w:rsidP="00ED7484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7</w:t>
      </w:r>
      <w:r w:rsidR="00721D04" w:rsidRPr="00721D04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. Оценка </w:t>
      </w:r>
      <w:r w:rsidR="00721D04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потребителями</w:t>
      </w:r>
      <w:r w:rsidR="00721D04" w:rsidRPr="00721D04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="00ED7484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высокого </w:t>
      </w:r>
      <w:r w:rsidR="00721D04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уровня цен</w:t>
      </w:r>
      <w:r w:rsidR="00ED7484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r w:rsidR="00721D04" w:rsidRPr="00721D04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в Фурмановском муниципальном районе</w:t>
      </w:r>
    </w:p>
    <w:p w:rsidR="00C44879" w:rsidRDefault="00C44879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299" w:rsidRDefault="0016060C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потребители считают, что количество организаций</w:t>
      </w:r>
      <w:r w:rsidR="00AD2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ED74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оцениваемых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рынках </w:t>
      </w:r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 муниципального района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осталось неизменным. </w:t>
      </w:r>
      <w:r w:rsidR="00472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товаров и </w:t>
      </w:r>
      <w:r w:rsidR="00472696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услуг, а так же </w:t>
      </w:r>
      <w:r w:rsidR="00472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ассортимент</w:t>
      </w:r>
      <w:r w:rsidR="00472696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мнению </w:t>
      </w:r>
      <w:r w:rsidR="00472696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большинства р</w:t>
      </w:r>
      <w:r w:rsidR="004F7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еспондентов, остались на прежнем уровне</w:t>
      </w:r>
      <w:r w:rsidR="00472696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72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большинство респондентов отметили рост цен на товары и услуги</w:t>
      </w:r>
      <w:r w:rsidR="00472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 анализируемых рынков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r w:rsidR="00472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F7238" w:rsidRDefault="004F7238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7DF7" w:rsidRDefault="004F7238" w:rsidP="00C44879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опрошенных большинство за последние три года не обращались за защитой своих прав как потребитель из-за</w:t>
      </w:r>
      <w:r w:rsidR="000725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некачественных товаров и услуг, за исключением нескольких респондентов. Сводные данные по этой проблематике представлены ниже.</w:t>
      </w:r>
    </w:p>
    <w:p w:rsidR="000F6550" w:rsidRDefault="000F6550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617E" w:rsidRDefault="00FA617E" w:rsidP="00472696">
      <w:pPr>
        <w:widowControl w:val="0"/>
        <w:spacing w:after="0" w:line="240" w:lineRule="auto"/>
        <w:ind w:right="159" w:firstLine="68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D49C332" wp14:editId="11D24F3E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7238" w:rsidRPr="004F7238" w:rsidRDefault="004C43FE" w:rsidP="004F7238">
      <w:pPr>
        <w:widowControl w:val="0"/>
        <w:spacing w:after="0" w:line="240" w:lineRule="auto"/>
        <w:ind w:right="159" w:firstLine="686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Рис. 8</w:t>
      </w:r>
      <w:r w:rsidR="004F7238" w:rsidRPr="004F7238"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  <w:t>. Данные о наличии жалоб со стороны потребителей в надзорные органы по данной проблематике</w:t>
      </w:r>
    </w:p>
    <w:p w:rsidR="0016060C" w:rsidRDefault="0016060C" w:rsidP="004707C7">
      <w:pPr>
        <w:widowControl w:val="0"/>
        <w:spacing w:after="0" w:line="240" w:lineRule="auto"/>
        <w:ind w:right="15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4299" w:rsidRPr="00D55A97" w:rsidRDefault="001F753F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F0B32" w:rsidRDefault="008F0B32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B4299" w:rsidRDefault="001F753F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F806B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03FF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A03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9E0A61" w:rsidRDefault="001F753F" w:rsidP="00D55A97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</w:t>
      </w:r>
      <w:r w:rsidR="009E0A61"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потребителей </w:t>
      </w:r>
      <w:r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относительно уровня доступности, уровня понятности и уровня удобства получения официальной информации о состоянии конкурентной среды на представляемых ими рынках, размещаемой в открытом доступе. Результаты проведенного опроса представлены на </w:t>
      </w:r>
      <w:r w:rsidR="00717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рисунках 9</w:t>
      </w:r>
      <w:r w:rsidR="00772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7171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9E0A61"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</w:t>
      </w:r>
      <w:r w:rsidRPr="009E0A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7354" w:rsidRDefault="00C44730" w:rsidP="00772676">
      <w:pPr>
        <w:widowControl w:val="0"/>
        <w:spacing w:before="240" w:after="0" w:line="240" w:lineRule="auto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субъектов предпринимательства </w:t>
      </w: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оценивают качество информации о состоянии конкурентной среды в Фурмановском муниципальном районе как </w:t>
      </w: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удовлетворительное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(показатель во все случаях превышает 60%)</w:t>
      </w:r>
      <w:r w:rsidRPr="002D3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Однако процент респондентов, неудовлетворенных качеством данной информации или испытывающих затруднения при ее оценке, также присутствует.</w:t>
      </w:r>
    </w:p>
    <w:p w:rsidR="001F753F" w:rsidRPr="00FA617E" w:rsidRDefault="00792ED6" w:rsidP="00567DF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595959" w:themeColor="text1" w:themeTint="A6"/>
          <w:sz w:val="2"/>
          <w:szCs w:val="2"/>
          <w:highlight w:val="lightGray"/>
          <w:lang w:eastAsia="ru-RU"/>
        </w:rPr>
      </w:pPr>
      <w:r w:rsidRPr="00FA617E">
        <w:rPr>
          <w:rFonts w:ascii="Courier New" w:eastAsia="Courier New" w:hAnsi="Courier New" w:cs="Courier New"/>
          <w:noProof/>
          <w:color w:val="000000"/>
          <w:sz w:val="2"/>
          <w:szCs w:val="2"/>
          <w:lang w:eastAsia="ru-RU"/>
        </w:rPr>
        <w:drawing>
          <wp:inline distT="0" distB="0" distL="0" distR="0" wp14:anchorId="4C36CB60" wp14:editId="6D24F126">
            <wp:extent cx="5534025" cy="22193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0A61" w:rsidRPr="009E0A61" w:rsidRDefault="009E0A61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</w:p>
    <w:p w:rsidR="00BF3F58" w:rsidRPr="00772676" w:rsidRDefault="007171CD" w:rsidP="00772676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Рис.9</w:t>
      </w:r>
      <w:r w:rsidR="009E0A61" w:rsidRPr="00567DF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. Оценка субъектами предпринимательской деятельности качества информации о состоянии конкурентной среды в Фурмановском муниципальном районе</w:t>
      </w:r>
    </w:p>
    <w:p w:rsidR="00772676" w:rsidRDefault="00BF3F58" w:rsidP="00772676">
      <w:pPr>
        <w:widowControl w:val="0"/>
        <w:spacing w:before="240" w:after="0" w:line="322" w:lineRule="exact"/>
        <w:ind w:right="2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C44730" w:rsidRPr="00341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ольшинство респондентов </w:t>
      </w:r>
      <w:r w:rsidR="00C447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потребителей </w:t>
      </w:r>
      <w:r w:rsidR="00C44730" w:rsidRPr="003410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оценивают качество информации о состоянии конкурентной среды в Фурмановском муниципальном районе как удовлетворительное и скорее удовлетворительное. Однако процент респондентов, неудовлетворенных качеством данной информации или испытывающих затруднения при ее оценке, также присутствует.</w:t>
      </w:r>
      <w:r w:rsidR="00E11E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03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уровня «удобства получения» информации оказалась неоднозначной – 26% потребителей оценили данный критерий как скорее удовлетворительный и 26% как скорее не удовлетворительный.</w:t>
      </w:r>
    </w:p>
    <w:p w:rsidR="009E0A61" w:rsidRPr="009E0A61" w:rsidRDefault="009E0A61" w:rsidP="009E0A6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highlight w:val="lightGray"/>
          <w:lang w:eastAsia="ru-RU"/>
        </w:rPr>
      </w:pPr>
      <w:r w:rsidRPr="009E0A61">
        <w:rPr>
          <w:rFonts w:ascii="Courier New" w:eastAsia="Courier New" w:hAnsi="Courier New" w:cs="Courier New"/>
          <w:noProof/>
          <w:color w:val="000000"/>
          <w:sz w:val="2"/>
          <w:szCs w:val="2"/>
          <w:highlight w:val="lightGray"/>
          <w:lang w:eastAsia="ru-RU"/>
        </w:rPr>
        <w:drawing>
          <wp:inline distT="0" distB="0" distL="0" distR="0" wp14:anchorId="3D441F63" wp14:editId="7974F80C">
            <wp:extent cx="5897880" cy="2295525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E0A61" w:rsidRDefault="007171CD" w:rsidP="009E0A61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Рис.10</w:t>
      </w:r>
      <w:r w:rsidR="009E0A61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 w:rsid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потребителями</w:t>
      </w:r>
      <w:r w:rsidR="009E0A61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качества информации о состоянии конкурентной среды в Фурмановском муниципальном районе</w:t>
      </w:r>
    </w:p>
    <w:p w:rsidR="00782914" w:rsidRDefault="00782914" w:rsidP="00772676">
      <w:pPr>
        <w:widowControl w:val="0"/>
        <w:spacing w:after="0" w:line="240" w:lineRule="auto"/>
        <w:ind w:right="159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782914" w:rsidRDefault="005E2804" w:rsidP="005E2804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Анализ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оценки 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источников информации о состоянии конкурентной среды в Фурмановском муниципальном районе</w:t>
      </w:r>
      <w:r w:rsidR="00893166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потребителями приведен</w:t>
      </w:r>
      <w:r w:rsidR="007171CD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на рисунке 11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ниже.</w:t>
      </w:r>
    </w:p>
    <w:p w:rsidR="005E2804" w:rsidRDefault="005E2804" w:rsidP="005E2804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Как видно из диаграммы, респонденты больше всего доверяют о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фициальн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ой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информации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 размещенн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ой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на сайте Федеральной антимонопольной службы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, а предпочитают пользоваться информацией, 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размещенн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ой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на официальном сайте уполномоченного органа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, 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на официальных сайтах исполнительных органов государственной власти 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Ивановской области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Фурмановского муниципального района, а так же 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lastRenderedPageBreak/>
        <w:t>информации на телевидении.</w:t>
      </w:r>
    </w:p>
    <w:p w:rsidR="005E2804" w:rsidRDefault="005E2804" w:rsidP="005E2804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Следует отметить, что выбор «затрудняюсь ответить» связан</w:t>
      </w:r>
      <w:r w:rsid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скорее всего</w:t>
      </w:r>
      <w:r w:rsid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с тем, что потребители не пользуются данными источниками.</w:t>
      </w:r>
    </w:p>
    <w:p w:rsidR="00062D02" w:rsidRPr="00062D02" w:rsidRDefault="00062D02" w:rsidP="005E2804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16"/>
          <w:szCs w:val="23"/>
          <w:lang w:eastAsia="ru-RU"/>
        </w:rPr>
      </w:pPr>
    </w:p>
    <w:p w:rsidR="00F908F8" w:rsidRDefault="00782914" w:rsidP="007829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75CD175" wp14:editId="5EDC3AF6">
            <wp:extent cx="5897880" cy="257556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82914" w:rsidRDefault="007171CD" w:rsidP="00782914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Рис.11</w:t>
      </w:r>
      <w:r w:rsidR="00782914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 w:rsidR="0078291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потребителями</w:t>
      </w:r>
      <w:r w:rsidR="00782914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78291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источников</w:t>
      </w:r>
      <w:r w:rsidR="00782914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информации о состоянии конкурентной среды в Фурмановском муниципальном районе</w:t>
      </w:r>
    </w:p>
    <w:p w:rsidR="00F908F8" w:rsidRDefault="00F908F8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0698" w:rsidRDefault="00C40698" w:rsidP="00C40698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Анализ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оценки 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источников информации о состоянии конкурентной среды в Фурмановском муниципальном районе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субъектами предпринимательской деятельности приведен на рисунке 12.</w:t>
      </w:r>
    </w:p>
    <w:p w:rsidR="00FB7D9B" w:rsidRDefault="00FB7D9B" w:rsidP="00C40698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</w:p>
    <w:p w:rsidR="00C40698" w:rsidRDefault="00C40698" w:rsidP="00C40698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Как видно из диаграммы, респонденты больше всего доверяют о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фициальн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ой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информации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 размещенн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ой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на </w:t>
      </w:r>
      <w:r w:rsidR="00265E18"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сайте уполномоченного органа</w:t>
      </w:r>
      <w:r w:rsid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и </w:t>
      </w:r>
      <w:r w:rsidR="00265E18" w:rsidRP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на интернет-портале об инвестиционной деятельности</w:t>
      </w:r>
      <w:r w:rsidR="00265E18"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</w:t>
      </w:r>
      <w:r w:rsid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Ивановской области, 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а предпочитают пользоваться информацией, 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размещенн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ой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на официальном</w:t>
      </w:r>
      <w:r w:rsid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</w:t>
      </w:r>
      <w:r w:rsidR="00265E18"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на сайте уполномоченного органа</w:t>
      </w:r>
      <w:r w:rsid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официальных сайтах исполнительных органов государственной власти 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Ивановской области</w:t>
      </w:r>
      <w:r w:rsidRPr="005E2804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Фурмановского муниципального района, а так же информации на телевидении.</w:t>
      </w:r>
    </w:p>
    <w:p w:rsidR="00C40698" w:rsidRDefault="00C40698" w:rsidP="00C40698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Следует отметить, что выбор «затрудняюсь ответить» связан</w:t>
      </w:r>
      <w:r w:rsid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скорее всего</w:t>
      </w:r>
      <w:r w:rsidR="00265E18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с тем, что потребители не пользуются данными источниками.</w:t>
      </w:r>
    </w:p>
    <w:p w:rsidR="00FB7D9B" w:rsidRPr="00FB7D9B" w:rsidRDefault="00FB7D9B" w:rsidP="00C40698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16"/>
          <w:szCs w:val="23"/>
          <w:lang w:eastAsia="ru-RU"/>
        </w:rPr>
      </w:pPr>
    </w:p>
    <w:p w:rsidR="00BF3F58" w:rsidRDefault="007D610F" w:rsidP="007D61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1CED7D1" wp14:editId="373A4EB5">
            <wp:extent cx="5897880" cy="257556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610F" w:rsidRDefault="007D610F" w:rsidP="00780ED1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Рис.12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субъектами предпринимательской деятельности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источников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информации о состоянии конкурентной среды в Фурмановском муниципальном районе</w:t>
      </w:r>
    </w:p>
    <w:p w:rsidR="00062D02" w:rsidRDefault="00062D02" w:rsidP="002C1E5B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</w:p>
    <w:p w:rsidR="002C1E5B" w:rsidRPr="002C1E5B" w:rsidRDefault="002C1E5B" w:rsidP="002C1E5B">
      <w:pPr>
        <w:widowControl w:val="0"/>
        <w:spacing w:after="0" w:line="240" w:lineRule="auto"/>
        <w:ind w:right="159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 w:rsidRPr="002C1E5B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lastRenderedPageBreak/>
        <w:t>Полноту размещения информации о состоянии конкурентной среды субъектами предпринимательской деятельности оценивают в большинстве как удовлетворительную.</w:t>
      </w:r>
    </w:p>
    <w:p w:rsidR="008A32C4" w:rsidRDefault="008A32C4" w:rsidP="007D610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93068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2EA512A" wp14:editId="0238A92E">
            <wp:extent cx="5486400" cy="276606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C1E5B" w:rsidRPr="00780ED1" w:rsidRDefault="002C1E5B" w:rsidP="002C1E5B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Рис.13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субъектами предпринимательской деятельности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полноты размещения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информации о состоянии конкурентной среды в Фурмановском муниципальном районе</w:t>
      </w:r>
    </w:p>
    <w:p w:rsidR="00E064D4" w:rsidRDefault="00E064D4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004771" w:rsidRDefault="001F753F" w:rsidP="00D55A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Мониторинг деятельности субъектов естественных монополий на территории </w:t>
      </w:r>
      <w:r w:rsidR="00D70F14" w:rsidRPr="000047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 муниципального района</w:t>
      </w:r>
    </w:p>
    <w:p w:rsidR="006401E3" w:rsidRPr="00933CDB" w:rsidRDefault="006401E3" w:rsidP="00F40566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</w:pPr>
    </w:p>
    <w:p w:rsidR="001F753F" w:rsidRPr="00004771" w:rsidRDefault="001F753F" w:rsidP="00F40566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4A7642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B3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E4228A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</w:t>
      </w:r>
      <w:r w:rsidR="001B3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DD36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субъектов предпринимательской деятельности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004771" w:rsidRDefault="001F753F" w:rsidP="00F40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осуществлялся на основании следующих критериев:</w:t>
      </w:r>
    </w:p>
    <w:p w:rsidR="001F753F" w:rsidRPr="00004771" w:rsidRDefault="001F753F" w:rsidP="00E97565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сроков получения </w:t>
      </w:r>
      <w:r w:rsidR="00E4228A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4A7642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="003E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(Таблица 2)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753F" w:rsidRPr="00004771" w:rsidRDefault="001F753F" w:rsidP="00E97565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сложности (количество) процедур подключения </w:t>
      </w:r>
      <w:r w:rsidR="00E4228A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4A7642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="003E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(Таблица 3)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908F8" w:rsidRPr="00BF3F58" w:rsidRDefault="001F753F" w:rsidP="00E97565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стоимости </w:t>
      </w:r>
      <w:r w:rsidR="00E4228A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4A7642"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="003E17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(Таблица 4)</w:t>
      </w:r>
      <w:r w:rsidRPr="00004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0586" w:rsidRPr="00933CDB" w:rsidRDefault="00E50586" w:rsidP="00BF3F58">
      <w:pPr>
        <w:widowControl w:val="0"/>
        <w:spacing w:after="42" w:line="27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lightGray"/>
          <w:lang w:eastAsia="ru-RU"/>
        </w:rPr>
      </w:pPr>
    </w:p>
    <w:p w:rsidR="00CB3B37" w:rsidRPr="00F45366" w:rsidRDefault="00CB3B37" w:rsidP="00CB3B37">
      <w:pPr>
        <w:widowControl w:val="0"/>
        <w:spacing w:after="0" w:line="230" w:lineRule="exact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  <w:t>Таблица 2</w:t>
      </w:r>
    </w:p>
    <w:p w:rsidR="00E50586" w:rsidRPr="00F45366" w:rsidRDefault="00E50586" w:rsidP="00CB3B37">
      <w:pPr>
        <w:widowControl w:val="0"/>
        <w:spacing w:after="0" w:line="23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 xml:space="preserve">Сроки получения доступа </w:t>
      </w:r>
      <w:r w:rsidR="00D81274"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>услуг</w:t>
      </w:r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 xml:space="preserve"> субъектов естественных монополий</w:t>
      </w:r>
    </w:p>
    <w:p w:rsidR="00E50586" w:rsidRPr="00CB3B37" w:rsidRDefault="00E50586" w:rsidP="00E50586">
      <w:pPr>
        <w:widowControl w:val="0"/>
        <w:spacing w:after="0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559"/>
        <w:gridCol w:w="1559"/>
        <w:gridCol w:w="1560"/>
        <w:gridCol w:w="1559"/>
      </w:tblGrid>
      <w:tr w:rsidR="008611B6" w:rsidRPr="00CB3B37" w:rsidTr="00312FD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widowControl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widowControl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8611B6" w:rsidRPr="00CB3B37" w:rsidTr="00DF018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312FD4" w:rsidRDefault="008611B6" w:rsidP="00312FD4">
            <w:pPr>
              <w:widowControl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2F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12FD4" w:rsidRDefault="008611B6" w:rsidP="00312FD4">
            <w:pPr>
              <w:widowControl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12F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12FD4" w:rsidRDefault="008611B6" w:rsidP="00312FD4">
            <w:pPr>
              <w:pStyle w:val="a9"/>
              <w:widowControl w:val="0"/>
              <w:spacing w:after="0" w:line="240" w:lineRule="auto"/>
              <w:ind w:left="-70" w:right="-71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12F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Скорее не удовлетворительно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12FD4" w:rsidRDefault="00312FD4" w:rsidP="00312FD4">
            <w:pPr>
              <w:pStyle w:val="a9"/>
              <w:widowControl w:val="0"/>
              <w:spacing w:after="0" w:line="240" w:lineRule="auto"/>
              <w:ind w:left="-70" w:right="-71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12FD4" w:rsidRDefault="008611B6" w:rsidP="00312FD4">
            <w:pPr>
              <w:pStyle w:val="a9"/>
              <w:widowControl w:val="0"/>
              <w:spacing w:after="0" w:line="240" w:lineRule="auto"/>
              <w:ind w:left="-70" w:right="-71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2F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Затрудняюсь</w:t>
            </w:r>
          </w:p>
          <w:p w:rsidR="008611B6" w:rsidRPr="00312FD4" w:rsidRDefault="008611B6" w:rsidP="00312FD4">
            <w:pPr>
              <w:widowControl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2FD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ответить</w:t>
            </w:r>
          </w:p>
        </w:tc>
      </w:tr>
      <w:tr w:rsidR="008611B6" w:rsidRPr="00CB3B37" w:rsidTr="00DF01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7565">
              <w:rPr>
                <w:rFonts w:ascii="Times New Roman" w:hAnsi="Times New Roman"/>
                <w:sz w:val="24"/>
                <w:szCs w:val="24"/>
              </w:rPr>
              <w:t>6,7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7565">
              <w:rPr>
                <w:rFonts w:ascii="Times New Roman" w:hAnsi="Times New Roman"/>
                <w:sz w:val="24"/>
                <w:szCs w:val="24"/>
              </w:rPr>
              <w:t>6,7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DF01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756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DF01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7565">
              <w:rPr>
                <w:rFonts w:ascii="Times New Roman" w:hAnsi="Times New Roman"/>
                <w:sz w:val="24"/>
                <w:szCs w:val="24"/>
              </w:rPr>
              <w:t>3,3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DF01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97565">
              <w:rPr>
                <w:rFonts w:ascii="Times New Roman" w:hAnsi="Times New Roman"/>
                <w:sz w:val="24"/>
                <w:szCs w:val="24"/>
              </w:rPr>
              <w:t>0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DF01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8611B6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933CDB" w:rsidTr="00DF0189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12FD4">
            <w:pPr>
              <w:spacing w:after="0" w:line="240" w:lineRule="auto"/>
              <w:ind w:left="-70" w:right="-71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E97565" w:rsidP="00312FD4">
            <w:pPr>
              <w:spacing w:after="0" w:line="240" w:lineRule="auto"/>
              <w:ind w:left="-70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B50761" w:rsidRPr="00933CDB" w:rsidRDefault="00B50761" w:rsidP="00B2676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/>
          <w:color w:val="000000"/>
          <w:sz w:val="28"/>
          <w:szCs w:val="28"/>
          <w:highlight w:val="lightGray"/>
          <w:lang w:eastAsia="ru-RU"/>
        </w:rPr>
      </w:pPr>
    </w:p>
    <w:p w:rsidR="00F40566" w:rsidRDefault="00120816" w:rsidP="003E17D7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 итогам проведенного анкетирования в отношении сроков получения доступа к услугам субъектов естественных монополий в Фурмановском муниципальном районе </w:t>
      </w:r>
      <w:r w:rsidR="00F40566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ольшинство респондентов считают удовлетворительными сроки получения доступа к </w:t>
      </w:r>
      <w:r w:rsidR="00DF01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данным</w:t>
      </w: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услугам субъектов естественных монополий в Фурмановском муниципальном районе</w:t>
      </w:r>
      <w:r w:rsid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17D7" w:rsidRPr="003E17D7" w:rsidRDefault="003E17D7" w:rsidP="003E17D7">
      <w:pPr>
        <w:widowControl w:val="0"/>
        <w:spacing w:after="0" w:line="240" w:lineRule="auto"/>
        <w:ind w:left="40" w:right="40" w:firstLine="6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0566" w:rsidRPr="00F45366" w:rsidRDefault="00F40566" w:rsidP="00F4056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Cs/>
          <w:i/>
          <w:color w:val="000000"/>
          <w:sz w:val="24"/>
          <w:szCs w:val="23"/>
          <w:lang w:eastAsia="ru-RU"/>
        </w:rPr>
        <w:t>Таблица 3</w:t>
      </w:r>
    </w:p>
    <w:p w:rsidR="00B26766" w:rsidRPr="00F45366" w:rsidRDefault="00B267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 xml:space="preserve"> Оценка сложности (количество) процедур подключения </w:t>
      </w:r>
      <w:r w:rsidR="00D81274"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>услуг</w:t>
      </w:r>
    </w:p>
    <w:p w:rsidR="00B26766" w:rsidRPr="00F45366" w:rsidRDefault="00B267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</w:pPr>
      <w:r w:rsidRPr="00F45366">
        <w:rPr>
          <w:rFonts w:ascii="Times New Roman" w:eastAsia="Times New Roman" w:hAnsi="Times New Roman"/>
          <w:b/>
          <w:bCs/>
          <w:color w:val="000000"/>
          <w:sz w:val="24"/>
          <w:szCs w:val="23"/>
          <w:lang w:eastAsia="ru-RU"/>
        </w:rPr>
        <w:t>субъектов естественных монополий</w:t>
      </w:r>
    </w:p>
    <w:p w:rsidR="00F40566" w:rsidRPr="00F40566" w:rsidRDefault="00F40566" w:rsidP="00B267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559"/>
        <w:gridCol w:w="1559"/>
        <w:gridCol w:w="1560"/>
        <w:gridCol w:w="1559"/>
      </w:tblGrid>
      <w:tr w:rsidR="008611B6" w:rsidRPr="00CB3B37" w:rsidTr="003E17D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widowControl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3E17D7" w:rsidP="003E17D7">
            <w:pPr>
              <w:widowControl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Сложность</w:t>
            </w:r>
            <w:r w:rsidR="008611B6"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получения доступа</w:t>
            </w:r>
          </w:p>
        </w:tc>
      </w:tr>
      <w:tr w:rsidR="008611B6" w:rsidRPr="00CB3B37" w:rsidTr="00D70C47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3E17D7" w:rsidRDefault="008611B6" w:rsidP="003E17D7">
            <w:pPr>
              <w:widowControl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17D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E17D7" w:rsidRDefault="008611B6" w:rsidP="003E17D7">
            <w:pPr>
              <w:widowControl w:val="0"/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17D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E17D7" w:rsidRDefault="008611B6" w:rsidP="003E17D7">
            <w:pPr>
              <w:pStyle w:val="a9"/>
              <w:widowControl w:val="0"/>
              <w:spacing w:after="0" w:line="240" w:lineRule="auto"/>
              <w:ind w:left="-56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1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Скорее не удовлетворительно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E17D7" w:rsidRDefault="008611B6" w:rsidP="003E17D7">
            <w:pPr>
              <w:pStyle w:val="a9"/>
              <w:widowControl w:val="0"/>
              <w:spacing w:after="0" w:line="240" w:lineRule="auto"/>
              <w:ind w:left="-56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1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3E17D7" w:rsidRDefault="008611B6" w:rsidP="003E17D7">
            <w:pPr>
              <w:pStyle w:val="a9"/>
              <w:widowControl w:val="0"/>
              <w:spacing w:after="0" w:line="240" w:lineRule="auto"/>
              <w:ind w:left="-56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1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Затрудняюсь</w:t>
            </w:r>
          </w:p>
          <w:p w:rsidR="008611B6" w:rsidRPr="003E17D7" w:rsidRDefault="008611B6" w:rsidP="003E17D7">
            <w:pPr>
              <w:pStyle w:val="a9"/>
              <w:widowControl w:val="0"/>
              <w:spacing w:after="0" w:line="240" w:lineRule="auto"/>
              <w:ind w:left="-56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E17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ответить</w:t>
            </w:r>
          </w:p>
        </w:tc>
      </w:tr>
      <w:tr w:rsidR="008611B6" w:rsidRPr="00CB3B37" w:rsidTr="00D70C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A0661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C47">
              <w:rPr>
                <w:rFonts w:ascii="Times New Roman" w:hAnsi="Times New Roman"/>
                <w:sz w:val="24"/>
                <w:szCs w:val="24"/>
              </w:rPr>
              <w:t>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11B6" w:rsidRPr="00CB3B37" w:rsidTr="00D70C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</w:t>
            </w:r>
            <w:r w:rsidR="008611B6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</w:tr>
      <w:tr w:rsidR="008611B6" w:rsidRPr="00CB3B37" w:rsidTr="00D70C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C47">
              <w:rPr>
                <w:rFonts w:ascii="Times New Roman" w:hAnsi="Times New Roman"/>
                <w:sz w:val="24"/>
                <w:szCs w:val="24"/>
              </w:rPr>
              <w:t>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8611B6" w:rsidRPr="00CB3B37" w:rsidTr="00D70C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</w:tr>
      <w:tr w:rsidR="008611B6" w:rsidRPr="00CB3B37" w:rsidTr="00D70C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8611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8611B6" w:rsidRPr="00933CDB" w:rsidTr="00D70C47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8611B6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C47">
              <w:rPr>
                <w:rFonts w:ascii="Times New Roman" w:hAnsi="Times New Roman"/>
                <w:sz w:val="24"/>
                <w:szCs w:val="24"/>
              </w:rPr>
              <w:t>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8611B6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B6" w:rsidRPr="00CB3B37" w:rsidRDefault="00D70C47" w:rsidP="003E17D7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5755FF" w:rsidRDefault="005755FF" w:rsidP="00546F59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6F50" w:rsidRPr="00F40566" w:rsidRDefault="001F753F" w:rsidP="00546F59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проведенного анкетирования в</w:t>
      </w:r>
      <w:r w:rsidR="009917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отношении сложности (количество</w:t>
      </w: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процедур подключения к услугам субъектов естественных монополий в </w:t>
      </w:r>
      <w:r w:rsidR="008D0623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2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771EE1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ольшинство респондентов считают </w:t>
      </w:r>
      <w:r w:rsidR="008D748B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удовлетворительной</w:t>
      </w:r>
      <w:r w:rsidR="00771EE1" w:rsidRPr="00F405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сложность (количество) процедур подключения следующим услугам субъектов естественных монополий в Фу</w:t>
      </w:r>
      <w:r w:rsidR="00C410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рмановском муниципальном районе.</w:t>
      </w:r>
    </w:p>
    <w:p w:rsidR="00771EE1" w:rsidRPr="00332725" w:rsidRDefault="00771EE1" w:rsidP="00771EE1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332725" w:rsidRPr="00332725" w:rsidRDefault="00030454" w:rsidP="0033272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ru-RU"/>
        </w:rPr>
        <w:t>Таблица 4</w:t>
      </w:r>
    </w:p>
    <w:p w:rsidR="00771EE1" w:rsidRDefault="00771EE1" w:rsidP="00771E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33272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Стоимость подключения </w:t>
      </w:r>
      <w:r w:rsidR="008D748B" w:rsidRPr="0033272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услуг</w:t>
      </w:r>
      <w:r w:rsidRPr="0033272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субъектов естественных монополий</w:t>
      </w:r>
    </w:p>
    <w:p w:rsidR="009917B3" w:rsidRPr="00332725" w:rsidRDefault="009917B3" w:rsidP="00771E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559"/>
        <w:gridCol w:w="1559"/>
        <w:gridCol w:w="1560"/>
        <w:gridCol w:w="1559"/>
      </w:tblGrid>
      <w:tr w:rsidR="00245AFE" w:rsidRPr="00CB3B37" w:rsidTr="009917B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245AFE" w:rsidRPr="00CB3B37" w:rsidTr="009917B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9917B3" w:rsidRDefault="00245AFE" w:rsidP="009917B3">
            <w:pPr>
              <w:widowControl w:val="0"/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9917B3" w:rsidRDefault="00245AFE" w:rsidP="009917B3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9917B3" w:rsidRDefault="00245AFE" w:rsidP="009917B3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Скорее не удовлетворительно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9917B3" w:rsidRDefault="00245AFE" w:rsidP="009917B3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9917B3" w:rsidRDefault="00245AFE" w:rsidP="009917B3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Затрудняюсь</w:t>
            </w:r>
          </w:p>
          <w:p w:rsidR="00245AFE" w:rsidRPr="009917B3" w:rsidRDefault="00245AFE" w:rsidP="009917B3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ответить</w:t>
            </w:r>
          </w:p>
        </w:tc>
      </w:tr>
      <w:tr w:rsidR="00245AFE" w:rsidRPr="00CB3B37" w:rsidTr="009917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5AFE" w:rsidRPr="00CB3B37" w:rsidTr="009917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C869CD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17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5AFE" w:rsidRPr="00CB3B37" w:rsidTr="004E37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5AFE" w:rsidRPr="00CB3B37" w:rsidTr="009917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C869CD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17B3">
              <w:rPr>
                <w:rFonts w:ascii="Times New Roman" w:hAnsi="Times New Roman"/>
                <w:sz w:val="24"/>
                <w:szCs w:val="24"/>
              </w:rPr>
              <w:t>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5AFE" w:rsidRPr="00CB3B37" w:rsidTr="009917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CB3B37" w:rsidRDefault="00C869CD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17B3">
              <w:rPr>
                <w:rFonts w:ascii="Times New Roman" w:hAnsi="Times New Roman"/>
                <w:sz w:val="24"/>
                <w:szCs w:val="24"/>
              </w:rPr>
              <w:t>6,7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245A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C869CD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5AFE" w:rsidRPr="00933CDB" w:rsidTr="004E3790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5AFE" w:rsidRPr="00CB3B37" w:rsidRDefault="00C869CD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917B3">
              <w:rPr>
                <w:rFonts w:ascii="Times New Roman" w:hAnsi="Times New Roman"/>
                <w:sz w:val="24"/>
                <w:szCs w:val="24"/>
              </w:rPr>
              <w:t>3,3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  <w:r w:rsidR="00245AFE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245AFE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FE" w:rsidRPr="00CB3B37" w:rsidRDefault="009917B3" w:rsidP="009917B3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C869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063F65" w:rsidRPr="00332725" w:rsidRDefault="00063F65" w:rsidP="00A50B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Default="001F753F" w:rsidP="00885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</w:t>
      </w:r>
      <w:r w:rsidR="001C0415"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анкетирования</w:t>
      </w:r>
      <w:r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 оценили стоимость </w:t>
      </w:r>
      <w:r w:rsidR="008D748B"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субъектов естественных монополий в </w:t>
      </w:r>
      <w:r w:rsidR="001C0415"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 муниципальном районе</w:t>
      </w:r>
      <w:r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</w:t>
      </w:r>
      <w:r w:rsidR="008D748B" w:rsidRPr="00332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удовлетворительную</w:t>
      </w:r>
      <w:r w:rsidR="00A06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скорее удовлетворительную.</w:t>
      </w:r>
    </w:p>
    <w:p w:rsidR="009C6138" w:rsidRDefault="009C6138" w:rsidP="00885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035E" w:rsidRDefault="009C6138" w:rsidP="009C61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анализировалась оценка субъектами предпринимательской деятельности качества и стоимости </w:t>
      </w:r>
      <w:r w:rsidRPr="0097035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по техническому присоединению к сетям инженерно-технического </w:t>
      </w:r>
      <w:r w:rsidRPr="009C6138">
        <w:rPr>
          <w:rFonts w:ascii="Times New Roman" w:eastAsia="Times New Roman" w:hAnsi="Times New Roman"/>
          <w:sz w:val="28"/>
          <w:szCs w:val="28"/>
          <w:lang w:eastAsia="ru-RU"/>
        </w:rPr>
        <w:t>обеспечения в электронном виде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35E" w:rsidRPr="0097035E" w:rsidRDefault="0097035E" w:rsidP="0097035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  <w:r w:rsidRPr="0097035E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lastRenderedPageBreak/>
        <w:t>Таблица 5</w:t>
      </w:r>
    </w:p>
    <w:p w:rsidR="0097035E" w:rsidRDefault="0097035E" w:rsidP="009703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Качество</w:t>
      </w:r>
      <w:r w:rsidRPr="0097035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услуг по техническому присоединению к сетям инженерно-технического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обеспечения в электронном виде</w:t>
      </w:r>
    </w:p>
    <w:p w:rsidR="0097035E" w:rsidRPr="0097035E" w:rsidRDefault="0097035E" w:rsidP="009703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559"/>
        <w:gridCol w:w="1559"/>
        <w:gridCol w:w="1560"/>
        <w:gridCol w:w="1559"/>
      </w:tblGrid>
      <w:tr w:rsidR="0097035E" w:rsidRPr="00CB3B37" w:rsidTr="00DF13B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97035E" w:rsidRPr="00CB3B37" w:rsidTr="0097035E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7035E" w:rsidRPr="009917B3" w:rsidRDefault="0097035E" w:rsidP="00DF13BF">
            <w:pPr>
              <w:widowControl w:val="0"/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5E" w:rsidRPr="009917B3" w:rsidRDefault="0097035E" w:rsidP="00DF13BF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917B3" w:rsidRDefault="0097035E" w:rsidP="00DF13BF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Скорее не удовлетворительно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917B3" w:rsidRDefault="0097035E" w:rsidP="00DF13BF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9917B3" w:rsidRDefault="0097035E" w:rsidP="00DF13BF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Затрудняюсь</w:t>
            </w:r>
          </w:p>
          <w:p w:rsidR="0097035E" w:rsidRPr="009917B3" w:rsidRDefault="0097035E" w:rsidP="00DF13BF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ответить</w:t>
            </w:r>
          </w:p>
        </w:tc>
      </w:tr>
      <w:tr w:rsidR="0097035E" w:rsidRPr="00CB3B37" w:rsidTr="009703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97035E" w:rsidRPr="00CB3B37" w:rsidTr="009703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</w:tr>
      <w:tr w:rsidR="0097035E" w:rsidRPr="00CB3B37" w:rsidTr="009703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</w:tr>
      <w:tr w:rsidR="0097035E" w:rsidRPr="00CB3B37" w:rsidTr="009703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5E" w:rsidRPr="00CB3B37" w:rsidRDefault="0097035E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</w:tbl>
    <w:p w:rsidR="0097035E" w:rsidRDefault="0097035E" w:rsidP="00885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6138" w:rsidRDefault="009C6138" w:rsidP="00885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оценили качество услуг на данных рынках как удовлетворительное (во всех случаях более 55%). Стоит отменить, что ни один респондент не выбрал ответ «не удовлетворительно» ни по одной </w:t>
      </w:r>
      <w:r w:rsidRPr="0097035E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035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техническому присоединению к сетям инженерно-технического </w:t>
      </w:r>
      <w:r w:rsidRPr="009C6138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C6138" w:rsidRDefault="009C6138" w:rsidP="00885D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6B6B" w:rsidRPr="0097035E" w:rsidRDefault="00296B6B" w:rsidP="00296B6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</w:pPr>
      <w:r w:rsidRPr="0097035E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6</w:t>
      </w:r>
    </w:p>
    <w:p w:rsidR="00296B6B" w:rsidRDefault="009C6138" w:rsidP="00296B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Стоимость</w:t>
      </w:r>
      <w:r w:rsidR="00296B6B" w:rsidRPr="0097035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услуг по техническому присоединению к сетям инженерно-технического </w:t>
      </w:r>
      <w:r w:rsidR="00296B6B">
        <w:rPr>
          <w:rFonts w:ascii="Times New Roman" w:eastAsia="Times New Roman" w:hAnsi="Times New Roman"/>
          <w:b/>
          <w:sz w:val="24"/>
          <w:szCs w:val="28"/>
          <w:lang w:eastAsia="ru-RU"/>
        </w:rPr>
        <w:t>обеспечения в электронном виде</w:t>
      </w:r>
    </w:p>
    <w:p w:rsidR="00296B6B" w:rsidRDefault="00296B6B" w:rsidP="00296B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559"/>
        <w:gridCol w:w="1559"/>
        <w:gridCol w:w="1560"/>
        <w:gridCol w:w="1559"/>
      </w:tblGrid>
      <w:tr w:rsidR="00296B6B" w:rsidRPr="00CB3B37" w:rsidTr="00DF13BF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CB3B3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296B6B" w:rsidRPr="00CB3B37" w:rsidTr="00B577E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B6B" w:rsidRPr="009917B3" w:rsidRDefault="00296B6B" w:rsidP="00DF13BF">
            <w:pPr>
              <w:widowControl w:val="0"/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B6B" w:rsidRPr="009917B3" w:rsidRDefault="00296B6B" w:rsidP="00DF13BF">
            <w:pPr>
              <w:widowControl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Скорее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9917B3" w:rsidRDefault="00296B6B" w:rsidP="00DF13BF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Скорее не удовлетворительно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9917B3" w:rsidRDefault="00296B6B" w:rsidP="00DF13BF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 удовлетворительно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9917B3" w:rsidRDefault="00296B6B" w:rsidP="00DF13BF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Затрудняюсь</w:t>
            </w:r>
          </w:p>
          <w:p w:rsidR="00296B6B" w:rsidRPr="009917B3" w:rsidRDefault="00296B6B" w:rsidP="00DF13BF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ответить</w:t>
            </w:r>
          </w:p>
        </w:tc>
      </w:tr>
      <w:tr w:rsidR="00296B6B" w:rsidRPr="00CB3B37" w:rsidTr="00B577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</w:tr>
      <w:tr w:rsidR="00296B6B" w:rsidRPr="00CB3B37" w:rsidTr="00B577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</w:tr>
      <w:tr w:rsidR="00296B6B" w:rsidRPr="00CB3B37" w:rsidTr="00B577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296B6B" w:rsidRPr="00CB3B37" w:rsidTr="00B577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  <w:r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B" w:rsidRPr="00CB3B37" w:rsidRDefault="00296B6B" w:rsidP="00296B6B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</w:tr>
    </w:tbl>
    <w:p w:rsidR="00296B6B" w:rsidRDefault="00296B6B" w:rsidP="00296B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E3790" w:rsidRPr="00D61795" w:rsidRDefault="005D3097" w:rsidP="00D617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респондентов оценили качество услуг на данных рынках как скорее удовлетворительное (во всех случаях более 40%). При этом, имеются также и оценки «не удовлетворительно». В целом, стоимость услуг на всех рынках, по оценкам респондентов, увеличилась.</w:t>
      </w:r>
    </w:p>
    <w:p w:rsidR="004E3790" w:rsidRDefault="004E3790" w:rsidP="004E3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Респонденты также оценили, </w:t>
      </w:r>
      <w:r w:rsidRPr="005A4349">
        <w:rPr>
          <w:rFonts w:ascii="Times New Roman" w:hAnsi="Times New Roman"/>
          <w:sz w:val="28"/>
          <w:szCs w:val="28"/>
        </w:rPr>
        <w:t>как изменилось количество процедур подключения</w:t>
      </w:r>
      <w:r>
        <w:rPr>
          <w:rFonts w:ascii="Times New Roman" w:hAnsi="Times New Roman"/>
          <w:sz w:val="28"/>
          <w:szCs w:val="28"/>
        </w:rPr>
        <w:t>, качество и цены</w:t>
      </w:r>
      <w:r w:rsidRPr="005A4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A4349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5A4349">
        <w:rPr>
          <w:rFonts w:ascii="Times New Roman" w:hAnsi="Times New Roman"/>
          <w:sz w:val="28"/>
          <w:szCs w:val="28"/>
        </w:rPr>
        <w:t xml:space="preserve"> субъектов естественных монополий за последние 5 лет</w:t>
      </w:r>
      <w:r>
        <w:rPr>
          <w:rFonts w:ascii="Times New Roman" w:hAnsi="Times New Roman"/>
          <w:sz w:val="28"/>
          <w:szCs w:val="28"/>
        </w:rPr>
        <w:t>. Абсолютно на всех рынках естественных монополий количество процедур не изменилось, выросло качество услуг по водоснабжению и водоотведению, в остальном – не изменилось, а цены выросли на всех рынках.</w:t>
      </w:r>
    </w:p>
    <w:p w:rsidR="004E3790" w:rsidRDefault="004E3790" w:rsidP="004E3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проблем, с которыми столкнулись респонденты при взаимодействии с субъектами естественных монополий, выделяются следующие:</w:t>
      </w:r>
    </w:p>
    <w:p w:rsidR="004E3790" w:rsidRDefault="004E3790" w:rsidP="004E379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Взимание дополнительной платы – 6,7%;</w:t>
      </w:r>
    </w:p>
    <w:p w:rsidR="004E3790" w:rsidRDefault="004E3790" w:rsidP="004E379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Навязывание дополнительных услуг – 3,3%;</w:t>
      </w:r>
    </w:p>
    <w:p w:rsidR="004E3790" w:rsidRDefault="004E3790" w:rsidP="004E379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EF2">
        <w:rPr>
          <w:rFonts w:ascii="Times New Roman" w:hAnsi="Times New Roman"/>
          <w:sz w:val="28"/>
          <w:szCs w:val="28"/>
        </w:rPr>
        <w:t xml:space="preserve">Проблемы с заменой приборов учета </w:t>
      </w:r>
      <w:r>
        <w:rPr>
          <w:rFonts w:ascii="Times New Roman" w:hAnsi="Times New Roman"/>
          <w:sz w:val="28"/>
          <w:szCs w:val="28"/>
        </w:rPr>
        <w:t>– 3,3%;</w:t>
      </w:r>
    </w:p>
    <w:p w:rsidR="004E3790" w:rsidRPr="00EB0020" w:rsidRDefault="004E3790" w:rsidP="004E379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Затруднились ответить – 36,7%.</w:t>
      </w:r>
    </w:p>
    <w:p w:rsidR="004E3790" w:rsidRDefault="004E3790" w:rsidP="004E3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необходимо отметить, что большинство респондентов (46,7%) не сталкивались с подобными проблемами.</w:t>
      </w:r>
    </w:p>
    <w:p w:rsidR="004E3790" w:rsidRDefault="004E3790" w:rsidP="004E3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73,3% опрошенных не сталкивались </w:t>
      </w:r>
      <w:r w:rsidRPr="00EB0020">
        <w:rPr>
          <w:rFonts w:ascii="Times New Roman" w:hAnsi="Times New Roman"/>
          <w:sz w:val="28"/>
          <w:szCs w:val="28"/>
        </w:rPr>
        <w:t xml:space="preserve">с дискриминационными  условиями доступа на товарный рынок, основной для бизнеса, который </w:t>
      </w:r>
      <w:r>
        <w:rPr>
          <w:rFonts w:ascii="Times New Roman" w:hAnsi="Times New Roman"/>
          <w:sz w:val="28"/>
          <w:szCs w:val="28"/>
        </w:rPr>
        <w:t>они представляет, остальные затруднились ответить.</w:t>
      </w:r>
    </w:p>
    <w:p w:rsidR="004E3790" w:rsidRDefault="004E3790" w:rsidP="005D30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5CF5" w:rsidRDefault="00D61795" w:rsidP="005A6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в части оценки услуг</w:t>
      </w:r>
      <w:r w:rsidRPr="00D61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естественных монополий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 проведен также и среди потребителей.</w:t>
      </w:r>
    </w:p>
    <w:p w:rsidR="005A6041" w:rsidRDefault="005A6041" w:rsidP="005A6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795" w:rsidRPr="00332725" w:rsidRDefault="00D61795" w:rsidP="00D6179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3"/>
          <w:szCs w:val="23"/>
          <w:lang w:eastAsia="ru-RU"/>
        </w:rPr>
        <w:t>Таблица 6</w:t>
      </w:r>
    </w:p>
    <w:p w:rsidR="00D61795" w:rsidRDefault="00D61795" w:rsidP="00D617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Качество</w:t>
      </w:r>
      <w:r w:rsidRPr="0033272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услуг субъектов естественных монополий</w:t>
      </w:r>
    </w:p>
    <w:p w:rsidR="00D61795" w:rsidRPr="00332725" w:rsidRDefault="00D61795" w:rsidP="00D6179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984"/>
        <w:gridCol w:w="1560"/>
        <w:gridCol w:w="1701"/>
      </w:tblGrid>
      <w:tr w:rsidR="00D61795" w:rsidRPr="00CB3B37" w:rsidTr="00D61795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D61795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95" w:rsidRPr="009917B3" w:rsidRDefault="00D61795" w:rsidP="00DF13BF">
            <w:pPr>
              <w:widowControl w:val="0"/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 удовлетворительно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9917B3" w:rsidRDefault="00D61795" w:rsidP="00DF13BF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</w:t>
            </w: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довлетворительно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9917B3" w:rsidRDefault="00D61795" w:rsidP="00DF13BF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Хорошее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9917B3" w:rsidRDefault="00D61795" w:rsidP="00DF13BF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Затрудняюсь</w:t>
            </w:r>
          </w:p>
          <w:p w:rsidR="00D61795" w:rsidRPr="009917B3" w:rsidRDefault="00D61795" w:rsidP="00DF13BF">
            <w:pPr>
              <w:pStyle w:val="a9"/>
              <w:widowControl w:val="0"/>
              <w:spacing w:after="0" w:line="240" w:lineRule="auto"/>
              <w:ind w:left="-70" w:right="-108" w:hanging="5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17B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ответить</w:t>
            </w:r>
          </w:p>
        </w:tc>
      </w:tr>
      <w:tr w:rsidR="00D61795" w:rsidRPr="00CB3B37" w:rsidTr="003B0D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D61795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  <w:r w:rsidR="00D61795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617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Default="00D61795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23,3%</w:t>
            </w:r>
          </w:p>
        </w:tc>
      </w:tr>
      <w:tr w:rsidR="00D61795" w:rsidRPr="00CB3B37" w:rsidTr="003B0D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D61795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61795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  <w:r w:rsidR="00D617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61795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61795" w:rsidRPr="00CB3B37" w:rsidTr="003B0D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D61795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  <w:r w:rsidR="00D61795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617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  <w:r w:rsidR="00D61795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D61795" w:rsidRPr="00CB3B37" w:rsidTr="003B0D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D61795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61795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617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617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26,7%</w:t>
            </w:r>
          </w:p>
        </w:tc>
      </w:tr>
      <w:tr w:rsidR="00D61795" w:rsidRPr="00933CDB" w:rsidTr="003B0D33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D61795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 w:rsidRPr="00CB3B37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D61795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61795" w:rsidRPr="00CB3B3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43,3%</w:t>
            </w:r>
          </w:p>
        </w:tc>
      </w:tr>
      <w:tr w:rsidR="00D61795" w:rsidRPr="00933CDB" w:rsidTr="003B0D33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D61795" w:rsidP="00DF13BF">
            <w:pPr>
              <w:spacing w:after="0" w:line="240" w:lineRule="auto"/>
              <w:ind w:left="-7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Почтовая 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1795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61795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Pr="00CB3B37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95" w:rsidRDefault="003B0D33" w:rsidP="00DF13BF">
            <w:pPr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</w:tr>
    </w:tbl>
    <w:p w:rsidR="00D61795" w:rsidRDefault="00D61795" w:rsidP="00D61795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E064D4" w:rsidRPr="00E064D4" w:rsidRDefault="005A6041" w:rsidP="00E064D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В целом, качество услуг субъектов естественных монополий потребители оценивают как удовлетворительное (более 50%), за исключением «Водоснабжения, водоотведения»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73,3% респондентов оценили качество услуги как «не удовлетворительное).</w:t>
      </w:r>
    </w:p>
    <w:p w:rsidR="003C4D83" w:rsidRDefault="003C4D83" w:rsidP="005A6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B5C" w:rsidRPr="00BF3F58" w:rsidRDefault="006167FE" w:rsidP="00BF3F58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BEF2EC" wp14:editId="027A1DD5">
            <wp:extent cx="5905500" cy="33909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0E5CF5" w:rsidRPr="000E5CF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1B3642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Рис.14</w:t>
      </w:r>
      <w:r w:rsidR="000E5CF5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 w:rsidR="000E5CF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потребителями</w:t>
      </w:r>
      <w:r w:rsidR="000E5CF5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качества </w:t>
      </w:r>
      <w:r w:rsidR="000E5CF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услуг</w:t>
      </w:r>
      <w:r w:rsidR="000E5CF5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0E5CF5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естественных монополий</w:t>
      </w:r>
      <w:r w:rsidR="000E5CF5"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в Фурмановском муни</w:t>
      </w:r>
      <w:r w:rsidR="00BF3F5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ципальном районе</w:t>
      </w:r>
    </w:p>
    <w:p w:rsidR="005A6041" w:rsidRDefault="005A6041" w:rsidP="005A6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6041" w:rsidRDefault="005A6041" w:rsidP="005A60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видно из рисунка 14, население в своем большинстве оценивает качество услуг естественных монополий в районе как удовлетворительное</w:t>
      </w:r>
      <w:r w:rsidR="00BE2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однако большинство респондентов оценили качество услуг водоснабжения и </w:t>
      </w:r>
      <w:r w:rsidR="00BE2C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теплоснабжения как не удовлетворительное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08F8" w:rsidRDefault="00F908F8" w:rsidP="00BF3F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D2B" w:rsidRDefault="005B3D8F" w:rsidP="00BF3F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55C5">
        <w:rPr>
          <w:rFonts w:ascii="Times New Roman" w:hAnsi="Times New Roman"/>
          <w:b/>
          <w:sz w:val="28"/>
          <w:szCs w:val="28"/>
        </w:rPr>
        <w:t>Ежегодный мониторинг доступности финансовых услуг и удовлетворенности населения деятельностью в сфере финансовых услуг</w:t>
      </w:r>
    </w:p>
    <w:p w:rsidR="00BF3F58" w:rsidRPr="00BF3F58" w:rsidRDefault="00BF3F58" w:rsidP="00BF3F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4583" w:rsidRDefault="002A2D2B" w:rsidP="00BF3F58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По результатам опроса,</w:t>
      </w:r>
      <w:r w:rsidRPr="002A2D2B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 xml:space="preserve"> потребители редко пользуются услугами финансовых организаций</w:t>
      </w:r>
      <w:r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, что отражено на рисунке ниже</w:t>
      </w:r>
      <w:r w:rsidRPr="002A2D2B">
        <w:rPr>
          <w:rFonts w:ascii="Times New Roman" w:eastAsia="Times New Roman" w:hAnsi="Times New Roman"/>
          <w:bCs/>
          <w:color w:val="000000"/>
          <w:sz w:val="28"/>
          <w:szCs w:val="23"/>
          <w:lang w:eastAsia="ru-RU"/>
        </w:rPr>
        <w:t>.</w:t>
      </w:r>
    </w:p>
    <w:p w:rsidR="005755FF" w:rsidRPr="00BF3F58" w:rsidRDefault="005755FF" w:rsidP="005755FF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28"/>
        </w:rPr>
      </w:pPr>
    </w:p>
    <w:p w:rsidR="00594AA2" w:rsidRDefault="00594AA2" w:rsidP="005B3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1D7338C" wp14:editId="57E13A0F">
            <wp:extent cx="5516880" cy="1501140"/>
            <wp:effectExtent l="0" t="19050" r="7620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22429" w:rsidRDefault="00822429" w:rsidP="00822429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030454" w:rsidRPr="00BF3F58" w:rsidRDefault="00594AA2" w:rsidP="005755F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</w:t>
      </w:r>
      <w:r w:rsidR="00F26EE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15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Оценка 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частоты использования услуг финансовых организаций потребителями</w:t>
      </w:r>
      <w:r w:rsidRPr="009E0A6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в Фурмановском муниципальном районе</w:t>
      </w:r>
    </w:p>
    <w:p w:rsidR="00822429" w:rsidRDefault="00822429" w:rsidP="0057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575A" w:rsidRPr="009B1CAD" w:rsidRDefault="00030454" w:rsidP="009B1C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анализу наиболее востребованных финансовых продуктов, результаты разделились следующим образом:</w:t>
      </w:r>
    </w:p>
    <w:p w:rsidR="00030454" w:rsidRPr="00D83227" w:rsidRDefault="00030454" w:rsidP="0005575A">
      <w:pPr>
        <w:ind w:firstLine="708"/>
        <w:jc w:val="right"/>
        <w:rPr>
          <w:rFonts w:ascii="Times New Roman" w:hAnsi="Times New Roman"/>
          <w:i/>
          <w:sz w:val="24"/>
          <w:szCs w:val="28"/>
        </w:rPr>
      </w:pPr>
      <w:r w:rsidRPr="00D83227">
        <w:rPr>
          <w:rFonts w:ascii="Times New Roman" w:hAnsi="Times New Roman"/>
          <w:i/>
          <w:sz w:val="24"/>
          <w:szCs w:val="28"/>
        </w:rPr>
        <w:t xml:space="preserve">Таблица </w:t>
      </w:r>
      <w:r w:rsidR="00C60973">
        <w:rPr>
          <w:rFonts w:ascii="Times New Roman" w:hAnsi="Times New Roman"/>
          <w:i/>
          <w:sz w:val="24"/>
          <w:szCs w:val="28"/>
        </w:rPr>
        <w:t>7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233FAE" w:rsidTr="00374525">
        <w:trPr>
          <w:trHeight w:val="648"/>
        </w:trPr>
        <w:tc>
          <w:tcPr>
            <w:tcW w:w="6912" w:type="dxa"/>
            <w:vAlign w:val="center"/>
          </w:tcPr>
          <w:p w:rsidR="00233FAE" w:rsidRPr="00D83227" w:rsidRDefault="00233FAE" w:rsidP="003745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Наиболее популярные выборы респондентов</w:t>
            </w:r>
          </w:p>
        </w:tc>
        <w:tc>
          <w:tcPr>
            <w:tcW w:w="2659" w:type="dxa"/>
            <w:vAlign w:val="center"/>
          </w:tcPr>
          <w:p w:rsidR="00233FAE" w:rsidRPr="00D83227" w:rsidRDefault="00233FAE" w:rsidP="003745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Доля респондентов</w:t>
            </w:r>
          </w:p>
        </w:tc>
      </w:tr>
      <w:tr w:rsidR="00233FAE" w:rsidTr="00374525">
        <w:trPr>
          <w:trHeight w:val="648"/>
        </w:trPr>
        <w:tc>
          <w:tcPr>
            <w:tcW w:w="9571" w:type="dxa"/>
            <w:gridSpan w:val="2"/>
            <w:shd w:val="clear" w:color="auto" w:fill="D6E3BC" w:themeFill="accent3" w:themeFillTint="66"/>
            <w:vAlign w:val="center"/>
          </w:tcPr>
          <w:p w:rsidR="00233FAE" w:rsidRPr="00D83227" w:rsidRDefault="00233FAE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Имеющийся</w:t>
            </w:r>
            <w:r w:rsidR="00374525">
              <w:rPr>
                <w:rFonts w:ascii="Times New Roman" w:hAnsi="Times New Roman"/>
                <w:sz w:val="24"/>
                <w:szCs w:val="28"/>
              </w:rPr>
              <w:t xml:space="preserve"> сейчас или за последний год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 xml:space="preserve"> финансовый продукт (вклады)</w:t>
            </w:r>
          </w:p>
        </w:tc>
      </w:tr>
      <w:tr w:rsidR="00030454" w:rsidTr="00374525">
        <w:trPr>
          <w:trHeight w:val="318"/>
        </w:trPr>
        <w:tc>
          <w:tcPr>
            <w:tcW w:w="6912" w:type="dxa"/>
            <w:vAlign w:val="center"/>
          </w:tcPr>
          <w:p w:rsidR="00030454" w:rsidRPr="00D83227" w:rsidRDefault="00030454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Банковский вклад</w:t>
            </w:r>
          </w:p>
        </w:tc>
        <w:tc>
          <w:tcPr>
            <w:tcW w:w="2659" w:type="dxa"/>
            <w:vAlign w:val="center"/>
          </w:tcPr>
          <w:p w:rsidR="00030454" w:rsidRPr="00D83227" w:rsidRDefault="00374525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  <w:r w:rsidR="00030454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233FAE" w:rsidTr="00374525">
        <w:trPr>
          <w:trHeight w:val="667"/>
        </w:trPr>
        <w:tc>
          <w:tcPr>
            <w:tcW w:w="9571" w:type="dxa"/>
            <w:gridSpan w:val="2"/>
            <w:shd w:val="clear" w:color="auto" w:fill="FDE9D9" w:themeFill="accent6" w:themeFillTint="33"/>
            <w:vAlign w:val="center"/>
          </w:tcPr>
          <w:p w:rsidR="00233FAE" w:rsidRPr="00D83227" w:rsidRDefault="00233FAE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Причина отсутствия финансовых продуктов</w:t>
            </w:r>
          </w:p>
        </w:tc>
      </w:tr>
      <w:tr w:rsidR="00233FAE" w:rsidTr="00374525">
        <w:trPr>
          <w:trHeight w:val="317"/>
        </w:trPr>
        <w:tc>
          <w:tcPr>
            <w:tcW w:w="6912" w:type="dxa"/>
          </w:tcPr>
          <w:p w:rsidR="00233FAE" w:rsidRPr="00D83227" w:rsidRDefault="00233FAE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Недостаточно свободных денег</w:t>
            </w:r>
          </w:p>
        </w:tc>
        <w:tc>
          <w:tcPr>
            <w:tcW w:w="2659" w:type="dxa"/>
          </w:tcPr>
          <w:p w:rsidR="00233FAE" w:rsidRPr="00D83227" w:rsidRDefault="00233FAE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6</w:t>
            </w:r>
            <w:r w:rsidR="00374525">
              <w:rPr>
                <w:rFonts w:ascii="Times New Roman" w:hAnsi="Times New Roman"/>
                <w:sz w:val="24"/>
                <w:szCs w:val="28"/>
              </w:rPr>
              <w:t>8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233FAE" w:rsidTr="00374525">
        <w:trPr>
          <w:trHeight w:val="649"/>
        </w:trPr>
        <w:tc>
          <w:tcPr>
            <w:tcW w:w="9571" w:type="dxa"/>
            <w:gridSpan w:val="2"/>
            <w:shd w:val="clear" w:color="auto" w:fill="D6E3BC" w:themeFill="accent3" w:themeFillTint="66"/>
            <w:vAlign w:val="center"/>
          </w:tcPr>
          <w:p w:rsidR="00233FAE" w:rsidRPr="00D83227" w:rsidRDefault="00233FAE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 xml:space="preserve">Имеющийся </w:t>
            </w:r>
            <w:r w:rsidR="00822429">
              <w:rPr>
                <w:rFonts w:ascii="Times New Roman" w:hAnsi="Times New Roman"/>
                <w:sz w:val="24"/>
                <w:szCs w:val="28"/>
              </w:rPr>
              <w:t>сейчас или за последний год</w:t>
            </w:r>
            <w:r w:rsidR="00822429" w:rsidRPr="00D8322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финансовый продукт (заёмы)</w:t>
            </w:r>
          </w:p>
        </w:tc>
      </w:tr>
      <w:tr w:rsidR="00030454" w:rsidTr="00374525">
        <w:trPr>
          <w:trHeight w:val="317"/>
        </w:trPr>
        <w:tc>
          <w:tcPr>
            <w:tcW w:w="6912" w:type="dxa"/>
          </w:tcPr>
          <w:p w:rsidR="00030454" w:rsidRPr="00D83227" w:rsidRDefault="00374525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74525">
              <w:rPr>
                <w:rFonts w:ascii="Times New Roman" w:hAnsi="Times New Roman"/>
                <w:sz w:val="24"/>
                <w:szCs w:val="28"/>
              </w:rPr>
              <w:t>Использование кредитного лимита по кредитной карте</w:t>
            </w:r>
          </w:p>
        </w:tc>
        <w:tc>
          <w:tcPr>
            <w:tcW w:w="2659" w:type="dxa"/>
          </w:tcPr>
          <w:p w:rsidR="00030454" w:rsidRPr="00D83227" w:rsidRDefault="00374525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233FAE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374525" w:rsidTr="00374525">
        <w:trPr>
          <w:trHeight w:val="317"/>
        </w:trPr>
        <w:tc>
          <w:tcPr>
            <w:tcW w:w="6912" w:type="dxa"/>
          </w:tcPr>
          <w:p w:rsidR="00374525" w:rsidRPr="00374525" w:rsidRDefault="00374525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74525">
              <w:rPr>
                <w:rFonts w:ascii="Times New Roman" w:hAnsi="Times New Roman"/>
                <w:sz w:val="24"/>
                <w:szCs w:val="28"/>
              </w:rPr>
              <w:t>Онлайн-кредит в банке</w:t>
            </w:r>
          </w:p>
        </w:tc>
        <w:tc>
          <w:tcPr>
            <w:tcW w:w="2659" w:type="dxa"/>
          </w:tcPr>
          <w:p w:rsidR="00374525" w:rsidRDefault="00374525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20%</w:t>
            </w:r>
          </w:p>
        </w:tc>
      </w:tr>
      <w:tr w:rsidR="00233FAE" w:rsidTr="00374525">
        <w:trPr>
          <w:trHeight w:val="662"/>
        </w:trPr>
        <w:tc>
          <w:tcPr>
            <w:tcW w:w="9571" w:type="dxa"/>
            <w:gridSpan w:val="2"/>
            <w:shd w:val="clear" w:color="auto" w:fill="FDE9D9" w:themeFill="accent6" w:themeFillTint="33"/>
            <w:vAlign w:val="center"/>
          </w:tcPr>
          <w:p w:rsidR="00233FAE" w:rsidRPr="00D83227" w:rsidRDefault="00233FAE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Причина отсутствия финансовых продуктов</w:t>
            </w:r>
          </w:p>
        </w:tc>
      </w:tr>
      <w:tr w:rsidR="00233FAE" w:rsidTr="00374525">
        <w:trPr>
          <w:trHeight w:val="317"/>
        </w:trPr>
        <w:tc>
          <w:tcPr>
            <w:tcW w:w="6912" w:type="dxa"/>
          </w:tcPr>
          <w:p w:rsidR="00233FAE" w:rsidRPr="00D83227" w:rsidRDefault="00BF0D37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Не люблю кредиты/не хочу жить в долг</w:t>
            </w:r>
          </w:p>
        </w:tc>
        <w:tc>
          <w:tcPr>
            <w:tcW w:w="2659" w:type="dxa"/>
          </w:tcPr>
          <w:p w:rsidR="00233FAE" w:rsidRPr="00D83227" w:rsidRDefault="00BF0D37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2</w:t>
            </w:r>
            <w:r w:rsidR="00374525">
              <w:rPr>
                <w:rFonts w:ascii="Times New Roman" w:hAnsi="Times New Roman"/>
                <w:sz w:val="24"/>
                <w:szCs w:val="28"/>
              </w:rPr>
              <w:t>4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233FAE" w:rsidTr="00374525">
        <w:trPr>
          <w:trHeight w:val="317"/>
        </w:trPr>
        <w:tc>
          <w:tcPr>
            <w:tcW w:w="6912" w:type="dxa"/>
          </w:tcPr>
          <w:p w:rsidR="00233FAE" w:rsidRPr="00D83227" w:rsidRDefault="00374525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74525">
              <w:rPr>
                <w:rFonts w:ascii="Times New Roman" w:hAnsi="Times New Roman"/>
                <w:sz w:val="24"/>
                <w:szCs w:val="28"/>
              </w:rPr>
              <w:t>Я не доверяю финансовым организациям в достаточной степени</w:t>
            </w:r>
          </w:p>
        </w:tc>
        <w:tc>
          <w:tcPr>
            <w:tcW w:w="2659" w:type="dxa"/>
          </w:tcPr>
          <w:p w:rsidR="00233FAE" w:rsidRPr="00D83227" w:rsidRDefault="00374525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BF0D37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BF0D37" w:rsidTr="00374525">
        <w:trPr>
          <w:trHeight w:val="318"/>
        </w:trPr>
        <w:tc>
          <w:tcPr>
            <w:tcW w:w="6912" w:type="dxa"/>
          </w:tcPr>
          <w:p w:rsidR="00BF0D37" w:rsidRPr="00D83227" w:rsidRDefault="00BF0D37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Процентная ставка слишком высокая</w:t>
            </w:r>
          </w:p>
        </w:tc>
        <w:tc>
          <w:tcPr>
            <w:tcW w:w="2659" w:type="dxa"/>
          </w:tcPr>
          <w:p w:rsidR="00BF0D37" w:rsidRPr="00D83227" w:rsidRDefault="00374525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 w:rsidR="00BF0D37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822429" w:rsidTr="00822429">
        <w:trPr>
          <w:trHeight w:val="653"/>
        </w:trPr>
        <w:tc>
          <w:tcPr>
            <w:tcW w:w="9571" w:type="dxa"/>
            <w:gridSpan w:val="2"/>
            <w:shd w:val="clear" w:color="auto" w:fill="D6E3BC" w:themeFill="accent3" w:themeFillTint="66"/>
            <w:vAlign w:val="center"/>
          </w:tcPr>
          <w:p w:rsidR="00822429" w:rsidRDefault="00822429" w:rsidP="0082242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 xml:space="preserve">Имеющийся </w:t>
            </w:r>
            <w:r>
              <w:rPr>
                <w:rFonts w:ascii="Times New Roman" w:hAnsi="Times New Roman"/>
                <w:sz w:val="24"/>
                <w:szCs w:val="28"/>
              </w:rPr>
              <w:t>сейчас или за последний год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страховой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 xml:space="preserve"> продукт</w:t>
            </w:r>
          </w:p>
        </w:tc>
      </w:tr>
      <w:tr w:rsidR="00822429" w:rsidTr="00374525">
        <w:trPr>
          <w:trHeight w:val="318"/>
        </w:trPr>
        <w:tc>
          <w:tcPr>
            <w:tcW w:w="6912" w:type="dxa"/>
          </w:tcPr>
          <w:p w:rsidR="00822429" w:rsidRPr="00D83227" w:rsidRDefault="00822429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22429">
              <w:rPr>
                <w:rFonts w:ascii="Times New Roman" w:hAnsi="Times New Roman"/>
                <w:sz w:val="24"/>
                <w:szCs w:val="28"/>
              </w:rPr>
              <w:t>Добровольное страхование жизни</w:t>
            </w:r>
          </w:p>
        </w:tc>
        <w:tc>
          <w:tcPr>
            <w:tcW w:w="2659" w:type="dxa"/>
          </w:tcPr>
          <w:p w:rsidR="00822429" w:rsidRDefault="00822429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822429" w:rsidTr="00822429">
        <w:trPr>
          <w:trHeight w:val="667"/>
        </w:trPr>
        <w:tc>
          <w:tcPr>
            <w:tcW w:w="9571" w:type="dxa"/>
            <w:gridSpan w:val="2"/>
            <w:shd w:val="clear" w:color="auto" w:fill="FDE9D9" w:themeFill="accent6" w:themeFillTint="33"/>
            <w:vAlign w:val="center"/>
          </w:tcPr>
          <w:p w:rsidR="00822429" w:rsidRDefault="00822429" w:rsidP="0082242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 xml:space="preserve">Причина отсутствия </w:t>
            </w:r>
            <w:r>
              <w:rPr>
                <w:rFonts w:ascii="Times New Roman" w:hAnsi="Times New Roman"/>
                <w:sz w:val="24"/>
                <w:szCs w:val="28"/>
              </w:rPr>
              <w:t>страхов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ых продуктов</w:t>
            </w:r>
          </w:p>
        </w:tc>
      </w:tr>
      <w:tr w:rsidR="00822429" w:rsidTr="00374525">
        <w:trPr>
          <w:trHeight w:val="318"/>
        </w:trPr>
        <w:tc>
          <w:tcPr>
            <w:tcW w:w="6912" w:type="dxa"/>
          </w:tcPr>
          <w:p w:rsidR="00822429" w:rsidRPr="00D83227" w:rsidRDefault="00822429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22429">
              <w:rPr>
                <w:rFonts w:ascii="Times New Roman" w:hAnsi="Times New Roman"/>
                <w:sz w:val="24"/>
                <w:szCs w:val="28"/>
              </w:rPr>
              <w:lastRenderedPageBreak/>
              <w:t>Не вижу смысла в страховании</w:t>
            </w:r>
          </w:p>
        </w:tc>
        <w:tc>
          <w:tcPr>
            <w:tcW w:w="2659" w:type="dxa"/>
          </w:tcPr>
          <w:p w:rsidR="00822429" w:rsidRDefault="00822429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DC25AC" w:rsidTr="00374525">
        <w:trPr>
          <w:trHeight w:val="648"/>
        </w:trPr>
        <w:tc>
          <w:tcPr>
            <w:tcW w:w="9571" w:type="dxa"/>
            <w:gridSpan w:val="2"/>
            <w:shd w:val="clear" w:color="auto" w:fill="D6E3BC" w:themeFill="accent3" w:themeFillTint="66"/>
            <w:vAlign w:val="center"/>
          </w:tcPr>
          <w:p w:rsidR="00DC25AC" w:rsidRPr="00D83227" w:rsidRDefault="00DC25AC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 xml:space="preserve">Имеющиеся </w:t>
            </w:r>
            <w:r w:rsidR="008347BA">
              <w:rPr>
                <w:rFonts w:ascii="Times New Roman" w:hAnsi="Times New Roman"/>
                <w:sz w:val="24"/>
                <w:szCs w:val="28"/>
              </w:rPr>
              <w:t>сейчас или за последний год платежные карты</w:t>
            </w:r>
          </w:p>
        </w:tc>
      </w:tr>
      <w:tr w:rsidR="00DC25AC" w:rsidTr="00374525">
        <w:trPr>
          <w:trHeight w:val="317"/>
        </w:trPr>
        <w:tc>
          <w:tcPr>
            <w:tcW w:w="6912" w:type="dxa"/>
          </w:tcPr>
          <w:p w:rsidR="00DC25AC" w:rsidRPr="00D83227" w:rsidRDefault="008347BA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8347BA">
              <w:rPr>
                <w:rFonts w:ascii="Times New Roman" w:hAnsi="Times New Roman"/>
                <w:sz w:val="24"/>
                <w:szCs w:val="28"/>
              </w:rPr>
              <w:t>Зарплатная карта</w:t>
            </w:r>
          </w:p>
        </w:tc>
        <w:tc>
          <w:tcPr>
            <w:tcW w:w="2659" w:type="dxa"/>
          </w:tcPr>
          <w:p w:rsidR="00DC25AC" w:rsidRPr="00D83227" w:rsidRDefault="00DF1BA0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94</w:t>
            </w:r>
            <w:r w:rsidR="00DC25AC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DC25AC" w:rsidTr="00374525">
        <w:trPr>
          <w:trHeight w:val="318"/>
        </w:trPr>
        <w:tc>
          <w:tcPr>
            <w:tcW w:w="6912" w:type="dxa"/>
          </w:tcPr>
          <w:p w:rsidR="00DC25AC" w:rsidRPr="00D83227" w:rsidRDefault="00DF1BA0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F1BA0">
              <w:rPr>
                <w:rFonts w:ascii="Times New Roman" w:hAnsi="Times New Roman"/>
                <w:sz w:val="24"/>
                <w:szCs w:val="28"/>
              </w:rPr>
              <w:t>Кредитная карта</w:t>
            </w:r>
          </w:p>
        </w:tc>
        <w:tc>
          <w:tcPr>
            <w:tcW w:w="2659" w:type="dxa"/>
          </w:tcPr>
          <w:p w:rsidR="00DC25AC" w:rsidRPr="00D83227" w:rsidRDefault="00DF1BA0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 w:rsidR="00DC25AC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B72F0A" w:rsidTr="00374525">
        <w:trPr>
          <w:trHeight w:val="649"/>
        </w:trPr>
        <w:tc>
          <w:tcPr>
            <w:tcW w:w="9571" w:type="dxa"/>
            <w:gridSpan w:val="2"/>
            <w:shd w:val="clear" w:color="auto" w:fill="FDE9D9" w:themeFill="accent6" w:themeFillTint="33"/>
            <w:vAlign w:val="center"/>
          </w:tcPr>
          <w:p w:rsidR="00B72F0A" w:rsidRPr="00D83227" w:rsidRDefault="00B72F0A" w:rsidP="00DF1BA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 xml:space="preserve">Причина отсутствия </w:t>
            </w:r>
            <w:r w:rsidR="00DF1BA0">
              <w:rPr>
                <w:rFonts w:ascii="Times New Roman" w:hAnsi="Times New Roman"/>
                <w:sz w:val="24"/>
                <w:szCs w:val="28"/>
              </w:rPr>
              <w:t>платежных карт</w:t>
            </w:r>
          </w:p>
        </w:tc>
      </w:tr>
      <w:tr w:rsidR="00B72F0A" w:rsidTr="00374525">
        <w:trPr>
          <w:trHeight w:val="318"/>
        </w:trPr>
        <w:tc>
          <w:tcPr>
            <w:tcW w:w="6912" w:type="dxa"/>
          </w:tcPr>
          <w:p w:rsidR="00B72F0A" w:rsidRPr="00D83227" w:rsidRDefault="00DF1BA0" w:rsidP="00374525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Недостаточно свободных денег</w:t>
            </w:r>
          </w:p>
        </w:tc>
        <w:tc>
          <w:tcPr>
            <w:tcW w:w="2659" w:type="dxa"/>
          </w:tcPr>
          <w:p w:rsidR="00B72F0A" w:rsidRPr="00D83227" w:rsidRDefault="00DF1BA0" w:rsidP="0037452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 w:rsidR="00B72F0A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</w:tbl>
    <w:p w:rsidR="009B1CAD" w:rsidRDefault="009B1CAD" w:rsidP="00D809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CAD" w:rsidRDefault="009B1CAD" w:rsidP="00D80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типу дистанционного доступа к банковскому счету за последние 12 месяцев ответы респондентов разделились следующим образом:</w:t>
      </w:r>
    </w:p>
    <w:p w:rsidR="009B1CAD" w:rsidRDefault="009B1CAD" w:rsidP="005755F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Денежные переводы/платежи через интернет-банк с помощью стационарного компьютера или ноутбука – пользовались </w:t>
      </w:r>
      <w:r w:rsidR="007D4FCC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%;</w:t>
      </w:r>
    </w:p>
    <w:p w:rsidR="009B1CAD" w:rsidRDefault="009B1CAD" w:rsidP="005755F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переводы/платежи через интернет-банк с помощью планшета или смартфона – пользовались 4</w:t>
      </w:r>
      <w:r w:rsidR="007D4F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%;</w:t>
      </w:r>
    </w:p>
    <w:p w:rsidR="009B1CAD" w:rsidRDefault="009B1CAD" w:rsidP="005755F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переводы/платежи через мобильный банк с помощью специализированного мобильного приложения – пользовались 7</w:t>
      </w:r>
      <w:r w:rsidR="007D4F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%;</w:t>
      </w:r>
    </w:p>
    <w:p w:rsidR="009B1CAD" w:rsidRDefault="009B1CAD" w:rsidP="005755FF">
      <w:pPr>
        <w:pStyle w:val="a9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переводы/платежи через мобильный банк посредством сообщений с использованием мобильного телефона – пользовались 3</w:t>
      </w:r>
      <w:r w:rsidR="007D4F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%.</w:t>
      </w:r>
    </w:p>
    <w:p w:rsidR="009B1CAD" w:rsidRPr="00D61A70" w:rsidRDefault="009B1CAD" w:rsidP="009B1C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самый востребованный сервис для дистанционного доступа к банковскому счету – это специализированное мобильное приложение. При этом, из тех респондентов, которые за последние 12 месяцев не пользовались дистанционным доступом к банковскому счету, большинство отметило причину «я не уверен в </w:t>
      </w:r>
      <w:r w:rsidR="00822429">
        <w:rPr>
          <w:rFonts w:ascii="Times New Roman" w:hAnsi="Times New Roman"/>
          <w:sz w:val="28"/>
          <w:szCs w:val="28"/>
        </w:rPr>
        <w:t>безопасности интернет сервисов».</w:t>
      </w:r>
    </w:p>
    <w:p w:rsidR="0005575A" w:rsidRPr="009B1CAD" w:rsidRDefault="00BF0D37" w:rsidP="003F5E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7D24C4" wp14:editId="39F872CF">
            <wp:extent cx="6111240" cy="2583180"/>
            <wp:effectExtent l="0" t="0" r="381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05575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</w:t>
      </w:r>
      <w:r w:rsid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16</w:t>
      </w:r>
      <w:r w:rsidR="0005575A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. </w:t>
      </w:r>
      <w:r w:rsid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У</w:t>
      </w:r>
      <w:r w:rsidR="003F5EB0" w:rsidRP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довлетворен</w:t>
      </w:r>
      <w:r w:rsid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ность</w:t>
      </w:r>
      <w:r w:rsidR="003F5EB0" w:rsidRP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работой/сервисом финансовых организаций</w:t>
      </w:r>
    </w:p>
    <w:p w:rsidR="00F908F8" w:rsidRDefault="003F5EB0" w:rsidP="000557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степени удовлетворенности потребителями работой/сервисом </w:t>
      </w:r>
      <w:r w:rsidRPr="003F5EB0">
        <w:rPr>
          <w:rFonts w:ascii="Times New Roman" w:hAnsi="Times New Roman"/>
          <w:sz w:val="28"/>
          <w:szCs w:val="28"/>
        </w:rPr>
        <w:t>финансовых организаций при оформлении и/или использовании финансовых услуг или в любых других случаях</w:t>
      </w:r>
      <w:r>
        <w:rPr>
          <w:rFonts w:ascii="Times New Roman" w:hAnsi="Times New Roman"/>
          <w:sz w:val="28"/>
          <w:szCs w:val="28"/>
        </w:rPr>
        <w:t xml:space="preserve"> респонденты показали, что больше всего удовлетворены работой банков (70%), с </w:t>
      </w:r>
      <w:r>
        <w:rPr>
          <w:rFonts w:ascii="Times New Roman" w:hAnsi="Times New Roman"/>
          <w:sz w:val="28"/>
          <w:szCs w:val="28"/>
        </w:rPr>
        <w:lastRenderedPageBreak/>
        <w:t>остальными финансовыми организациями они либо в большинстве не сталкивались, либо не довольны сервисами.</w:t>
      </w:r>
    </w:p>
    <w:p w:rsidR="003F5EB0" w:rsidRDefault="003F5EB0" w:rsidP="0016231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B592F91" wp14:editId="77828246">
            <wp:extent cx="6029325" cy="2548555"/>
            <wp:effectExtent l="0" t="0" r="0" b="444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D8289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Рис.17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. Степень доверия</w:t>
      </w:r>
      <w:r w:rsidRP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финансовы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м</w:t>
      </w:r>
      <w:r w:rsidRPr="003F5EB0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ям</w:t>
      </w:r>
    </w:p>
    <w:p w:rsidR="00162315" w:rsidRDefault="00162315" w:rsidP="0016231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162315" w:rsidRDefault="00162315" w:rsidP="001623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степени доверия потребителями </w:t>
      </w:r>
      <w:r w:rsidRPr="003F5EB0">
        <w:rPr>
          <w:rFonts w:ascii="Times New Roman" w:hAnsi="Times New Roman"/>
          <w:sz w:val="28"/>
          <w:szCs w:val="28"/>
        </w:rPr>
        <w:t>финансовы</w:t>
      </w:r>
      <w:r>
        <w:rPr>
          <w:rFonts w:ascii="Times New Roman" w:hAnsi="Times New Roman"/>
          <w:sz w:val="28"/>
          <w:szCs w:val="28"/>
        </w:rPr>
        <w:t>м</w:t>
      </w:r>
      <w:r w:rsidRPr="003F5EB0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</w:t>
      </w:r>
      <w:r w:rsidRPr="003F5EB0">
        <w:rPr>
          <w:rFonts w:ascii="Times New Roman" w:hAnsi="Times New Roman"/>
          <w:sz w:val="28"/>
          <w:szCs w:val="28"/>
        </w:rPr>
        <w:t xml:space="preserve"> при оформлении и/или использовании финансовых услуг или в любых других случаях</w:t>
      </w:r>
      <w:r>
        <w:rPr>
          <w:rFonts w:ascii="Times New Roman" w:hAnsi="Times New Roman"/>
          <w:sz w:val="28"/>
          <w:szCs w:val="28"/>
        </w:rPr>
        <w:t xml:space="preserve"> респонденты показали, что больше всего доверяют банкам (70%), остальными финансовым организациям они </w:t>
      </w:r>
      <w:r w:rsidR="0046071A">
        <w:rPr>
          <w:rFonts w:ascii="Times New Roman" w:hAnsi="Times New Roman"/>
          <w:sz w:val="28"/>
          <w:szCs w:val="28"/>
        </w:rPr>
        <w:t xml:space="preserve">в большинстве не доверяют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="0046071A">
        <w:rPr>
          <w:rFonts w:ascii="Times New Roman" w:hAnsi="Times New Roman"/>
          <w:sz w:val="28"/>
          <w:szCs w:val="28"/>
        </w:rPr>
        <w:t>не сталкивались.</w:t>
      </w:r>
    </w:p>
    <w:p w:rsidR="00130CA1" w:rsidRDefault="00130CA1" w:rsidP="00130CA1">
      <w:pPr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D83227">
        <w:rPr>
          <w:rFonts w:ascii="Times New Roman" w:hAnsi="Times New Roman"/>
          <w:i/>
          <w:sz w:val="24"/>
          <w:szCs w:val="28"/>
        </w:rPr>
        <w:t xml:space="preserve">Таблица </w:t>
      </w:r>
      <w:r w:rsidR="009F15DC">
        <w:rPr>
          <w:rFonts w:ascii="Times New Roman" w:hAnsi="Times New Roman"/>
          <w:i/>
          <w:sz w:val="24"/>
          <w:szCs w:val="28"/>
        </w:rPr>
        <w:t>8</w:t>
      </w:r>
    </w:p>
    <w:p w:rsidR="009F15DC" w:rsidRPr="009F15DC" w:rsidRDefault="009F15DC" w:rsidP="009F15DC">
      <w:pPr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F15DC">
        <w:rPr>
          <w:rFonts w:ascii="Times New Roman" w:hAnsi="Times New Roman"/>
          <w:b/>
          <w:sz w:val="24"/>
          <w:szCs w:val="28"/>
        </w:rPr>
        <w:t>Удовлетворенность качеством и ассортиментом ба</w:t>
      </w:r>
      <w:r>
        <w:rPr>
          <w:rFonts w:ascii="Times New Roman" w:hAnsi="Times New Roman"/>
          <w:b/>
          <w:sz w:val="24"/>
          <w:szCs w:val="28"/>
        </w:rPr>
        <w:t>нковских от</w:t>
      </w:r>
      <w:r w:rsidRPr="009F15DC">
        <w:rPr>
          <w:rFonts w:ascii="Times New Roman" w:hAnsi="Times New Roman"/>
          <w:b/>
          <w:sz w:val="24"/>
          <w:szCs w:val="28"/>
        </w:rPr>
        <w:t>делений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409"/>
        <w:gridCol w:w="2608"/>
      </w:tblGrid>
      <w:tr w:rsidR="00130CA1" w:rsidTr="00D83227">
        <w:tc>
          <w:tcPr>
            <w:tcW w:w="1809" w:type="dxa"/>
            <w:tcBorders>
              <w:top w:val="nil"/>
              <w:left w:val="nil"/>
              <w:bottom w:val="single" w:sz="8" w:space="0" w:color="auto"/>
            </w:tcBorders>
          </w:tcPr>
          <w:p w:rsidR="00130CA1" w:rsidRPr="00D83227" w:rsidRDefault="00130CA1" w:rsidP="009F15DC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30CA1" w:rsidRPr="00D83227" w:rsidRDefault="00130CA1" w:rsidP="009F15D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130CA1" w:rsidRPr="00D83227" w:rsidRDefault="00130CA1" w:rsidP="009F15DC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130CA1" w:rsidRPr="00D83227" w:rsidRDefault="00130CA1" w:rsidP="009F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Количество и удобство расположения банковских отделений</w:t>
            </w:r>
          </w:p>
        </w:tc>
        <w:tc>
          <w:tcPr>
            <w:tcW w:w="2409" w:type="dxa"/>
          </w:tcPr>
          <w:p w:rsidR="00130CA1" w:rsidRPr="00D83227" w:rsidRDefault="00130CA1" w:rsidP="009F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Качество дистанционного банковского обслуживания</w:t>
            </w:r>
          </w:p>
        </w:tc>
        <w:tc>
          <w:tcPr>
            <w:tcW w:w="2608" w:type="dxa"/>
          </w:tcPr>
          <w:p w:rsidR="00130CA1" w:rsidRPr="00D83227" w:rsidRDefault="00130CA1" w:rsidP="009F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83227">
              <w:rPr>
                <w:rFonts w:ascii="Times New Roman" w:hAnsi="Times New Roman"/>
                <w:b/>
                <w:sz w:val="24"/>
                <w:szCs w:val="28"/>
              </w:rPr>
              <w:t>Выбор различных банков для получения необходимых услуг</w:t>
            </w:r>
          </w:p>
        </w:tc>
      </w:tr>
      <w:tr w:rsidR="00130CA1" w:rsidTr="00D83227"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</w:tcPr>
          <w:p w:rsidR="00130CA1" w:rsidRPr="00D83227" w:rsidRDefault="00130CA1" w:rsidP="009F1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Полностью удовлетворен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130CA1" w:rsidRPr="00D83227" w:rsidRDefault="00130CA1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</w:t>
            </w:r>
            <w:r w:rsidR="009F15DC">
              <w:rPr>
                <w:rFonts w:ascii="Times New Roman" w:hAnsi="Times New Roman"/>
                <w:sz w:val="24"/>
                <w:szCs w:val="28"/>
              </w:rPr>
              <w:t>8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130CA1" w:rsidRPr="00D83227" w:rsidRDefault="009F15DC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608" w:type="dxa"/>
            <w:tcBorders>
              <w:bottom w:val="single" w:sz="8" w:space="0" w:color="auto"/>
            </w:tcBorders>
          </w:tcPr>
          <w:p w:rsidR="00130CA1" w:rsidRPr="00D83227" w:rsidRDefault="00130CA1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</w:t>
            </w:r>
            <w:r w:rsidR="009F15DC">
              <w:rPr>
                <w:rFonts w:ascii="Times New Roman" w:hAnsi="Times New Roman"/>
                <w:sz w:val="24"/>
                <w:szCs w:val="28"/>
              </w:rPr>
              <w:t>0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D83227" w:rsidTr="00D83227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130CA1" w:rsidRPr="00D83227" w:rsidRDefault="00130CA1" w:rsidP="009F1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Скорее удовлетворен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130CA1" w:rsidRPr="00D83227" w:rsidRDefault="009F15DC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130CA1" w:rsidRPr="00D83227" w:rsidRDefault="00130CA1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5</w:t>
            </w:r>
            <w:r w:rsidR="009F15DC">
              <w:rPr>
                <w:rFonts w:ascii="Times New Roman" w:hAnsi="Times New Roman"/>
                <w:sz w:val="24"/>
                <w:szCs w:val="28"/>
              </w:rPr>
              <w:t>2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6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130CA1" w:rsidRPr="00D83227" w:rsidRDefault="009F15DC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130CA1" w:rsidTr="00D83227">
        <w:tc>
          <w:tcPr>
            <w:tcW w:w="1809" w:type="dxa"/>
            <w:tcBorders>
              <w:top w:val="single" w:sz="8" w:space="0" w:color="auto"/>
            </w:tcBorders>
          </w:tcPr>
          <w:p w:rsidR="00130CA1" w:rsidRPr="00D83227" w:rsidRDefault="00130CA1" w:rsidP="009F1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Скорее не удовлетворен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130CA1" w:rsidRPr="00D83227" w:rsidRDefault="009F15DC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130CA1" w:rsidRPr="00D83227" w:rsidRDefault="009F15DC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608" w:type="dxa"/>
            <w:tcBorders>
              <w:top w:val="single" w:sz="8" w:space="0" w:color="auto"/>
            </w:tcBorders>
          </w:tcPr>
          <w:p w:rsidR="00130CA1" w:rsidRPr="00D83227" w:rsidRDefault="00130CA1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1</w:t>
            </w:r>
            <w:r w:rsidR="009F15DC">
              <w:rPr>
                <w:rFonts w:ascii="Times New Roman" w:hAnsi="Times New Roman"/>
                <w:sz w:val="24"/>
                <w:szCs w:val="28"/>
              </w:rPr>
              <w:t>6</w:t>
            </w:r>
            <w:r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130CA1" w:rsidTr="00D83227">
        <w:tc>
          <w:tcPr>
            <w:tcW w:w="1809" w:type="dxa"/>
          </w:tcPr>
          <w:p w:rsidR="00130CA1" w:rsidRPr="00D83227" w:rsidRDefault="00130CA1" w:rsidP="009F15D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83227">
              <w:rPr>
                <w:rFonts w:ascii="Times New Roman" w:hAnsi="Times New Roman"/>
                <w:sz w:val="24"/>
                <w:szCs w:val="28"/>
              </w:rPr>
              <w:t>Полностью не удовлетворен</w:t>
            </w:r>
          </w:p>
        </w:tc>
        <w:tc>
          <w:tcPr>
            <w:tcW w:w="2694" w:type="dxa"/>
          </w:tcPr>
          <w:p w:rsidR="00130CA1" w:rsidRPr="00D83227" w:rsidRDefault="009F15DC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409" w:type="dxa"/>
          </w:tcPr>
          <w:p w:rsidR="00130CA1" w:rsidRPr="00D83227" w:rsidRDefault="009F15DC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 w:rsidR="00130CA1" w:rsidRPr="00D83227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2608" w:type="dxa"/>
          </w:tcPr>
          <w:p w:rsidR="00130CA1" w:rsidRPr="00D83227" w:rsidRDefault="009F15DC" w:rsidP="009F1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16%</w:t>
            </w:r>
          </w:p>
        </w:tc>
      </w:tr>
    </w:tbl>
    <w:p w:rsidR="009477BF" w:rsidRDefault="009477BF" w:rsidP="009F1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5DC" w:rsidRDefault="009F15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Качеством дистанционного обслуживания, количеством и удобством расположения и выбором различных банков потребители в большинстве скорее удовлетворены.</w:t>
      </w:r>
    </w:p>
    <w:p w:rsidR="00CF494F" w:rsidRDefault="00CF494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респондентов также скорее удовлетворены качество интернет-связи и качеством мобильной связи (</w:t>
      </w:r>
      <w:r w:rsidR="001166A7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% и 5</w:t>
      </w:r>
      <w:r w:rsidR="001166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соответственно).</w:t>
      </w:r>
    </w:p>
    <w:p w:rsidR="004534E4" w:rsidRDefault="004534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Каналы обслуживания большинство респондентов определило как «легко доступные»</w:t>
      </w:r>
      <w:r w:rsidR="00E603EA">
        <w:rPr>
          <w:rFonts w:ascii="Times New Roman" w:hAnsi="Times New Roman"/>
          <w:sz w:val="28"/>
          <w:szCs w:val="28"/>
        </w:rPr>
        <w:t>, которыми они могут быстро воспользоваться.</w:t>
      </w:r>
    </w:p>
    <w:p w:rsidR="00E603EA" w:rsidRDefault="00E603EA" w:rsidP="00EB20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CCA4E6" wp14:editId="19DEF3EF">
            <wp:extent cx="6164580" cy="3162300"/>
            <wp:effectExtent l="38100" t="0" r="762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B20E2" w:rsidRDefault="00EB20E2" w:rsidP="00EB20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E603EA" w:rsidRDefault="00D82890" w:rsidP="00EB20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Рис.18</w:t>
      </w:r>
      <w:r w:rsidR="00E603EA" w:rsidRPr="00E603EA">
        <w:rPr>
          <w:rFonts w:ascii="Times New Roman" w:hAnsi="Times New Roman"/>
          <w:b/>
          <w:sz w:val="24"/>
          <w:szCs w:val="28"/>
        </w:rPr>
        <w:t>. Барьеры в использовании финансовых услуг</w:t>
      </w:r>
    </w:p>
    <w:p w:rsidR="00EB20E2" w:rsidRDefault="00EB20E2" w:rsidP="00EB20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E603EA" w:rsidRDefault="00E603EA" w:rsidP="00EB2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3EA">
        <w:rPr>
          <w:rFonts w:ascii="Times New Roman" w:hAnsi="Times New Roman"/>
          <w:sz w:val="28"/>
          <w:szCs w:val="28"/>
        </w:rPr>
        <w:t>Таким образом, у большинства опрошенных нет барьеров в использова</w:t>
      </w:r>
      <w:r w:rsidR="00790361">
        <w:rPr>
          <w:rFonts w:ascii="Times New Roman" w:hAnsi="Times New Roman"/>
          <w:sz w:val="28"/>
          <w:szCs w:val="28"/>
        </w:rPr>
        <w:t>нии финансовыми услугами (34%).</w:t>
      </w:r>
    </w:p>
    <w:p w:rsidR="00790361" w:rsidRDefault="00790361" w:rsidP="00EB2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88% респондентов отметили, что</w:t>
      </w:r>
      <w:r w:rsidRPr="00790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7903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гут</w:t>
      </w:r>
      <w:r w:rsidRPr="00790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воспользоваться </w:t>
      </w:r>
      <w:r w:rsidRPr="00790361">
        <w:rPr>
          <w:rFonts w:ascii="Times New Roman" w:hAnsi="Times New Roman"/>
          <w:sz w:val="28"/>
          <w:szCs w:val="28"/>
        </w:rPr>
        <w:t>финансовыми услугами дистанционно (с помощью персонального компьютера или мобильных устройств</w:t>
      </w:r>
      <w:r>
        <w:rPr>
          <w:rFonts w:ascii="Times New Roman" w:hAnsi="Times New Roman"/>
          <w:sz w:val="28"/>
          <w:szCs w:val="28"/>
        </w:rPr>
        <w:t>.</w:t>
      </w:r>
    </w:p>
    <w:p w:rsidR="00EB20E2" w:rsidRDefault="00EB20E2" w:rsidP="00EB2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E30" w:rsidRDefault="00103E30" w:rsidP="00EB20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респондентам было предложено оценить </w:t>
      </w:r>
      <w:r w:rsidRPr="00103E30">
        <w:rPr>
          <w:rFonts w:ascii="Times New Roman" w:hAnsi="Times New Roman"/>
          <w:sz w:val="28"/>
          <w:szCs w:val="28"/>
        </w:rPr>
        <w:t>собственные знания и навыки в сфере финансовых продуктов и услу</w:t>
      </w:r>
      <w:r>
        <w:rPr>
          <w:rFonts w:ascii="Times New Roman" w:hAnsi="Times New Roman"/>
          <w:sz w:val="28"/>
          <w:szCs w:val="28"/>
        </w:rPr>
        <w:t>г, где 1 – нет знаний и навыков,</w:t>
      </w:r>
      <w:r w:rsidRPr="00103E30">
        <w:rPr>
          <w:rFonts w:ascii="Times New Roman" w:hAnsi="Times New Roman"/>
          <w:sz w:val="28"/>
          <w:szCs w:val="28"/>
        </w:rPr>
        <w:t xml:space="preserve"> 5 – отличные знания и навыки</w:t>
      </w:r>
      <w:r>
        <w:rPr>
          <w:rFonts w:ascii="Times New Roman" w:hAnsi="Times New Roman"/>
          <w:sz w:val="28"/>
          <w:szCs w:val="28"/>
        </w:rPr>
        <w:t>.</w:t>
      </w:r>
    </w:p>
    <w:p w:rsidR="00103E30" w:rsidRDefault="00103E30" w:rsidP="00103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940CC47" wp14:editId="65E978F6">
            <wp:extent cx="5486400" cy="177546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03E30" w:rsidRDefault="00D82890" w:rsidP="00103E30">
      <w:pPr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Рис.19</w:t>
      </w:r>
      <w:r w:rsidR="00103E30" w:rsidRPr="00E603EA"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b/>
          <w:sz w:val="24"/>
          <w:szCs w:val="28"/>
        </w:rPr>
        <w:t>Уровень знаний в сфере финансовых услуг</w:t>
      </w:r>
      <w:bookmarkStart w:id="1" w:name="_GoBack"/>
      <w:bookmarkEnd w:id="1"/>
    </w:p>
    <w:p w:rsidR="00103E30" w:rsidRPr="00103E30" w:rsidRDefault="00103E30" w:rsidP="00103E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E30">
        <w:rPr>
          <w:rFonts w:ascii="Times New Roman" w:hAnsi="Times New Roman"/>
          <w:sz w:val="28"/>
          <w:szCs w:val="28"/>
        </w:rPr>
        <w:t>Большинство потребителей оценивают свои знания и н</w:t>
      </w:r>
      <w:r>
        <w:rPr>
          <w:rFonts w:ascii="Times New Roman" w:hAnsi="Times New Roman"/>
          <w:sz w:val="28"/>
          <w:szCs w:val="28"/>
        </w:rPr>
        <w:t>авыки, как удовлетворительные (</w:t>
      </w:r>
      <w:r w:rsidRPr="00103E30">
        <w:rPr>
          <w:rFonts w:ascii="Times New Roman" w:hAnsi="Times New Roman"/>
          <w:sz w:val="28"/>
          <w:szCs w:val="28"/>
        </w:rPr>
        <w:t>40%) и хорошие (24%).</w:t>
      </w:r>
    </w:p>
    <w:p w:rsidR="00790361" w:rsidRPr="00E603EA" w:rsidRDefault="00790361" w:rsidP="00103E30">
      <w:pPr>
        <w:jc w:val="both"/>
        <w:rPr>
          <w:rFonts w:ascii="Times New Roman" w:hAnsi="Times New Roman"/>
          <w:sz w:val="28"/>
          <w:szCs w:val="28"/>
        </w:rPr>
      </w:pPr>
    </w:p>
    <w:sectPr w:rsidR="00790361" w:rsidRPr="00E603EA" w:rsidSect="00D55A97">
      <w:footerReference w:type="default" r:id="rId28"/>
      <w:pgSz w:w="11906" w:h="16838"/>
      <w:pgMar w:top="851" w:right="851" w:bottom="567" w:left="156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33" w:rsidRDefault="005A2933" w:rsidP="00A810C9">
      <w:pPr>
        <w:spacing w:after="0" w:line="240" w:lineRule="auto"/>
      </w:pPr>
      <w:r>
        <w:separator/>
      </w:r>
    </w:p>
  </w:endnote>
  <w:endnote w:type="continuationSeparator" w:id="0">
    <w:p w:rsidR="005A2933" w:rsidRDefault="005A2933" w:rsidP="00A8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7115"/>
      <w:docPartObj>
        <w:docPartGallery w:val="Page Numbers (Bottom of Page)"/>
        <w:docPartUnique/>
      </w:docPartObj>
    </w:sdtPr>
    <w:sdtEndPr/>
    <w:sdtContent>
      <w:p w:rsidR="00062D02" w:rsidRDefault="00062D02" w:rsidP="00B706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890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33" w:rsidRDefault="005A2933" w:rsidP="00A810C9">
      <w:pPr>
        <w:spacing w:after="0" w:line="240" w:lineRule="auto"/>
      </w:pPr>
      <w:r>
        <w:separator/>
      </w:r>
    </w:p>
  </w:footnote>
  <w:footnote w:type="continuationSeparator" w:id="0">
    <w:p w:rsidR="005A2933" w:rsidRDefault="005A2933" w:rsidP="00A8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8E0"/>
    <w:multiLevelType w:val="hybridMultilevel"/>
    <w:tmpl w:val="19D6971A"/>
    <w:lvl w:ilvl="0" w:tplc="24321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8F7"/>
    <w:multiLevelType w:val="hybridMultilevel"/>
    <w:tmpl w:val="ECD09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C2033"/>
    <w:multiLevelType w:val="hybridMultilevel"/>
    <w:tmpl w:val="0B006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9069D9"/>
    <w:multiLevelType w:val="hybridMultilevel"/>
    <w:tmpl w:val="04904EB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4D18F7"/>
    <w:multiLevelType w:val="hybridMultilevel"/>
    <w:tmpl w:val="C6B46302"/>
    <w:lvl w:ilvl="0" w:tplc="DC0A27AA">
      <w:start w:val="1"/>
      <w:numFmt w:val="bullet"/>
      <w:lvlText w:val="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5">
    <w:nsid w:val="32B327A0"/>
    <w:multiLevelType w:val="hybridMultilevel"/>
    <w:tmpl w:val="BBF2E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DF3245"/>
    <w:multiLevelType w:val="hybridMultilevel"/>
    <w:tmpl w:val="7204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206E"/>
    <w:multiLevelType w:val="hybridMultilevel"/>
    <w:tmpl w:val="E4867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240352"/>
    <w:multiLevelType w:val="hybridMultilevel"/>
    <w:tmpl w:val="B8C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E069A"/>
    <w:multiLevelType w:val="hybridMultilevel"/>
    <w:tmpl w:val="D0C6E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D51B3"/>
    <w:multiLevelType w:val="hybridMultilevel"/>
    <w:tmpl w:val="3086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603C1F"/>
    <w:multiLevelType w:val="hybridMultilevel"/>
    <w:tmpl w:val="6388E9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647D16"/>
    <w:multiLevelType w:val="hybridMultilevel"/>
    <w:tmpl w:val="23E80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4D5B07"/>
    <w:multiLevelType w:val="multilevel"/>
    <w:tmpl w:val="DDBE5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7D7B63"/>
    <w:multiLevelType w:val="hybridMultilevel"/>
    <w:tmpl w:val="3468F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083BF3"/>
    <w:multiLevelType w:val="hybridMultilevel"/>
    <w:tmpl w:val="691E0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1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F"/>
    <w:rsid w:val="00001BF8"/>
    <w:rsid w:val="0000271F"/>
    <w:rsid w:val="00003B44"/>
    <w:rsid w:val="00004771"/>
    <w:rsid w:val="000056F1"/>
    <w:rsid w:val="00007C4C"/>
    <w:rsid w:val="00010677"/>
    <w:rsid w:val="00010E0A"/>
    <w:rsid w:val="000117E4"/>
    <w:rsid w:val="000122F8"/>
    <w:rsid w:val="00013693"/>
    <w:rsid w:val="00013B15"/>
    <w:rsid w:val="0001406C"/>
    <w:rsid w:val="00015A21"/>
    <w:rsid w:val="00015E85"/>
    <w:rsid w:val="00016064"/>
    <w:rsid w:val="00017459"/>
    <w:rsid w:val="00020006"/>
    <w:rsid w:val="000210FF"/>
    <w:rsid w:val="0002146B"/>
    <w:rsid w:val="00022396"/>
    <w:rsid w:val="000231FF"/>
    <w:rsid w:val="00030454"/>
    <w:rsid w:val="00030F99"/>
    <w:rsid w:val="000324C4"/>
    <w:rsid w:val="000328C7"/>
    <w:rsid w:val="000356F4"/>
    <w:rsid w:val="00035E64"/>
    <w:rsid w:val="00036300"/>
    <w:rsid w:val="00036452"/>
    <w:rsid w:val="00037314"/>
    <w:rsid w:val="00037F9B"/>
    <w:rsid w:val="00037FFE"/>
    <w:rsid w:val="00040244"/>
    <w:rsid w:val="00043253"/>
    <w:rsid w:val="00043D69"/>
    <w:rsid w:val="00044E91"/>
    <w:rsid w:val="000451C1"/>
    <w:rsid w:val="00046A2C"/>
    <w:rsid w:val="00047212"/>
    <w:rsid w:val="00051CF4"/>
    <w:rsid w:val="00051D68"/>
    <w:rsid w:val="00055511"/>
    <w:rsid w:val="000556BB"/>
    <w:rsid w:val="0005575A"/>
    <w:rsid w:val="00055BDB"/>
    <w:rsid w:val="00056380"/>
    <w:rsid w:val="0006238E"/>
    <w:rsid w:val="00062D02"/>
    <w:rsid w:val="00063D44"/>
    <w:rsid w:val="00063F65"/>
    <w:rsid w:val="00064292"/>
    <w:rsid w:val="00064E5F"/>
    <w:rsid w:val="0006501A"/>
    <w:rsid w:val="00065AD0"/>
    <w:rsid w:val="00070578"/>
    <w:rsid w:val="00071281"/>
    <w:rsid w:val="00071B1F"/>
    <w:rsid w:val="00071E71"/>
    <w:rsid w:val="000725B7"/>
    <w:rsid w:val="00072AC8"/>
    <w:rsid w:val="00072D02"/>
    <w:rsid w:val="00072D30"/>
    <w:rsid w:val="00072D4E"/>
    <w:rsid w:val="00077635"/>
    <w:rsid w:val="00077D66"/>
    <w:rsid w:val="00081403"/>
    <w:rsid w:val="00083419"/>
    <w:rsid w:val="00083758"/>
    <w:rsid w:val="000853FD"/>
    <w:rsid w:val="00085CB4"/>
    <w:rsid w:val="00085E8D"/>
    <w:rsid w:val="00086AE2"/>
    <w:rsid w:val="00086C51"/>
    <w:rsid w:val="00086E44"/>
    <w:rsid w:val="000870C4"/>
    <w:rsid w:val="00087D9F"/>
    <w:rsid w:val="00087EEA"/>
    <w:rsid w:val="00090AD1"/>
    <w:rsid w:val="0009110F"/>
    <w:rsid w:val="00092AE2"/>
    <w:rsid w:val="00096186"/>
    <w:rsid w:val="0009793B"/>
    <w:rsid w:val="000A06D0"/>
    <w:rsid w:val="000A1204"/>
    <w:rsid w:val="000A12A7"/>
    <w:rsid w:val="000A170E"/>
    <w:rsid w:val="000A19C7"/>
    <w:rsid w:val="000A2390"/>
    <w:rsid w:val="000A3003"/>
    <w:rsid w:val="000A31B2"/>
    <w:rsid w:val="000A3491"/>
    <w:rsid w:val="000A34FE"/>
    <w:rsid w:val="000A4FDB"/>
    <w:rsid w:val="000B0485"/>
    <w:rsid w:val="000B0744"/>
    <w:rsid w:val="000B1C74"/>
    <w:rsid w:val="000B20C1"/>
    <w:rsid w:val="000B2D6E"/>
    <w:rsid w:val="000B3050"/>
    <w:rsid w:val="000B388C"/>
    <w:rsid w:val="000B4B40"/>
    <w:rsid w:val="000B4C15"/>
    <w:rsid w:val="000B5F90"/>
    <w:rsid w:val="000B62CF"/>
    <w:rsid w:val="000B7F4A"/>
    <w:rsid w:val="000C1BE6"/>
    <w:rsid w:val="000C23E8"/>
    <w:rsid w:val="000C246A"/>
    <w:rsid w:val="000C3752"/>
    <w:rsid w:val="000C3EFE"/>
    <w:rsid w:val="000C62DF"/>
    <w:rsid w:val="000D0B7A"/>
    <w:rsid w:val="000D165D"/>
    <w:rsid w:val="000D19A9"/>
    <w:rsid w:val="000D2F66"/>
    <w:rsid w:val="000D6A49"/>
    <w:rsid w:val="000E0306"/>
    <w:rsid w:val="000E0897"/>
    <w:rsid w:val="000E10EF"/>
    <w:rsid w:val="000E12B2"/>
    <w:rsid w:val="000E5AF1"/>
    <w:rsid w:val="000E5CF5"/>
    <w:rsid w:val="000E6377"/>
    <w:rsid w:val="000F0D13"/>
    <w:rsid w:val="000F2171"/>
    <w:rsid w:val="000F6550"/>
    <w:rsid w:val="000F6986"/>
    <w:rsid w:val="000F6A68"/>
    <w:rsid w:val="000F7277"/>
    <w:rsid w:val="001008DA"/>
    <w:rsid w:val="001009AA"/>
    <w:rsid w:val="001009D5"/>
    <w:rsid w:val="00100AEE"/>
    <w:rsid w:val="0010242D"/>
    <w:rsid w:val="001028DB"/>
    <w:rsid w:val="00102C36"/>
    <w:rsid w:val="00102D1A"/>
    <w:rsid w:val="0010379A"/>
    <w:rsid w:val="00103E30"/>
    <w:rsid w:val="00104FBC"/>
    <w:rsid w:val="001055B0"/>
    <w:rsid w:val="00105634"/>
    <w:rsid w:val="00105C65"/>
    <w:rsid w:val="00106AC5"/>
    <w:rsid w:val="00106C28"/>
    <w:rsid w:val="00107A2C"/>
    <w:rsid w:val="00107FD0"/>
    <w:rsid w:val="00111722"/>
    <w:rsid w:val="00111A08"/>
    <w:rsid w:val="001129B8"/>
    <w:rsid w:val="0011336C"/>
    <w:rsid w:val="00113FE6"/>
    <w:rsid w:val="00115CD5"/>
    <w:rsid w:val="001166A7"/>
    <w:rsid w:val="00117AD8"/>
    <w:rsid w:val="00120816"/>
    <w:rsid w:val="00123367"/>
    <w:rsid w:val="00125B9B"/>
    <w:rsid w:val="00125E25"/>
    <w:rsid w:val="0012756A"/>
    <w:rsid w:val="00130CA1"/>
    <w:rsid w:val="001313F3"/>
    <w:rsid w:val="0013434B"/>
    <w:rsid w:val="0013452E"/>
    <w:rsid w:val="00135E1C"/>
    <w:rsid w:val="00136595"/>
    <w:rsid w:val="001372E3"/>
    <w:rsid w:val="00141CE5"/>
    <w:rsid w:val="00141F56"/>
    <w:rsid w:val="00147B22"/>
    <w:rsid w:val="00147F50"/>
    <w:rsid w:val="00151CCF"/>
    <w:rsid w:val="001527B2"/>
    <w:rsid w:val="001529F2"/>
    <w:rsid w:val="00152D85"/>
    <w:rsid w:val="0015664B"/>
    <w:rsid w:val="00157F0F"/>
    <w:rsid w:val="0016060C"/>
    <w:rsid w:val="00161A00"/>
    <w:rsid w:val="00161D40"/>
    <w:rsid w:val="00162212"/>
    <w:rsid w:val="00162315"/>
    <w:rsid w:val="00162C43"/>
    <w:rsid w:val="00164159"/>
    <w:rsid w:val="001668B5"/>
    <w:rsid w:val="00166EC8"/>
    <w:rsid w:val="001670EA"/>
    <w:rsid w:val="001674D8"/>
    <w:rsid w:val="00167EC8"/>
    <w:rsid w:val="001702A3"/>
    <w:rsid w:val="00172A4D"/>
    <w:rsid w:val="00173C2B"/>
    <w:rsid w:val="001751A3"/>
    <w:rsid w:val="0017624A"/>
    <w:rsid w:val="001768B7"/>
    <w:rsid w:val="00180B77"/>
    <w:rsid w:val="00182081"/>
    <w:rsid w:val="00183428"/>
    <w:rsid w:val="001837DE"/>
    <w:rsid w:val="0018724B"/>
    <w:rsid w:val="001877D8"/>
    <w:rsid w:val="00191F72"/>
    <w:rsid w:val="00194795"/>
    <w:rsid w:val="00196071"/>
    <w:rsid w:val="001A1679"/>
    <w:rsid w:val="001A2218"/>
    <w:rsid w:val="001A36E8"/>
    <w:rsid w:val="001A3F5A"/>
    <w:rsid w:val="001A4E29"/>
    <w:rsid w:val="001A708E"/>
    <w:rsid w:val="001B0863"/>
    <w:rsid w:val="001B0BEE"/>
    <w:rsid w:val="001B2AA7"/>
    <w:rsid w:val="001B3642"/>
    <w:rsid w:val="001B4577"/>
    <w:rsid w:val="001B52DC"/>
    <w:rsid w:val="001B648F"/>
    <w:rsid w:val="001B7860"/>
    <w:rsid w:val="001B7990"/>
    <w:rsid w:val="001B7AE1"/>
    <w:rsid w:val="001C0166"/>
    <w:rsid w:val="001C0415"/>
    <w:rsid w:val="001C39F4"/>
    <w:rsid w:val="001C3A18"/>
    <w:rsid w:val="001C3FFA"/>
    <w:rsid w:val="001C421F"/>
    <w:rsid w:val="001C5446"/>
    <w:rsid w:val="001C6CFA"/>
    <w:rsid w:val="001C734C"/>
    <w:rsid w:val="001C7384"/>
    <w:rsid w:val="001C7CD3"/>
    <w:rsid w:val="001D2679"/>
    <w:rsid w:val="001D2773"/>
    <w:rsid w:val="001D4326"/>
    <w:rsid w:val="001E053C"/>
    <w:rsid w:val="001E0806"/>
    <w:rsid w:val="001E190B"/>
    <w:rsid w:val="001E2959"/>
    <w:rsid w:val="001E39BE"/>
    <w:rsid w:val="001E3FBD"/>
    <w:rsid w:val="001E5D4E"/>
    <w:rsid w:val="001E651A"/>
    <w:rsid w:val="001E7B1E"/>
    <w:rsid w:val="001F08F3"/>
    <w:rsid w:val="001F15E2"/>
    <w:rsid w:val="001F20E2"/>
    <w:rsid w:val="001F3010"/>
    <w:rsid w:val="001F3508"/>
    <w:rsid w:val="001F6B08"/>
    <w:rsid w:val="001F7431"/>
    <w:rsid w:val="001F753F"/>
    <w:rsid w:val="001F7E8C"/>
    <w:rsid w:val="0020216F"/>
    <w:rsid w:val="00205FAF"/>
    <w:rsid w:val="00207250"/>
    <w:rsid w:val="00207C22"/>
    <w:rsid w:val="00210324"/>
    <w:rsid w:val="00210451"/>
    <w:rsid w:val="00210AD6"/>
    <w:rsid w:val="002110BB"/>
    <w:rsid w:val="00211A00"/>
    <w:rsid w:val="00211FE5"/>
    <w:rsid w:val="00212C80"/>
    <w:rsid w:val="0021324B"/>
    <w:rsid w:val="00215998"/>
    <w:rsid w:val="00216980"/>
    <w:rsid w:val="002203BF"/>
    <w:rsid w:val="002225A8"/>
    <w:rsid w:val="00224874"/>
    <w:rsid w:val="00225A96"/>
    <w:rsid w:val="0022768C"/>
    <w:rsid w:val="00227808"/>
    <w:rsid w:val="0023098B"/>
    <w:rsid w:val="00231CD8"/>
    <w:rsid w:val="002336AE"/>
    <w:rsid w:val="00233FAE"/>
    <w:rsid w:val="00234210"/>
    <w:rsid w:val="00234892"/>
    <w:rsid w:val="00234AC3"/>
    <w:rsid w:val="00235CA7"/>
    <w:rsid w:val="00236AC9"/>
    <w:rsid w:val="002372E0"/>
    <w:rsid w:val="0024189A"/>
    <w:rsid w:val="00242568"/>
    <w:rsid w:val="0024390B"/>
    <w:rsid w:val="00245AFE"/>
    <w:rsid w:val="0025113D"/>
    <w:rsid w:val="0025198C"/>
    <w:rsid w:val="00256B9D"/>
    <w:rsid w:val="00257557"/>
    <w:rsid w:val="002609A8"/>
    <w:rsid w:val="0026483A"/>
    <w:rsid w:val="00265E18"/>
    <w:rsid w:val="002661AE"/>
    <w:rsid w:val="002668CE"/>
    <w:rsid w:val="00267A87"/>
    <w:rsid w:val="00267C32"/>
    <w:rsid w:val="002702B0"/>
    <w:rsid w:val="00270B1F"/>
    <w:rsid w:val="00272061"/>
    <w:rsid w:val="0027379F"/>
    <w:rsid w:val="00273C9A"/>
    <w:rsid w:val="00273EA5"/>
    <w:rsid w:val="002778CC"/>
    <w:rsid w:val="00277DFA"/>
    <w:rsid w:val="00277E91"/>
    <w:rsid w:val="00277FC6"/>
    <w:rsid w:val="00282687"/>
    <w:rsid w:val="0028270A"/>
    <w:rsid w:val="00284DDD"/>
    <w:rsid w:val="002862C9"/>
    <w:rsid w:val="00287259"/>
    <w:rsid w:val="00290427"/>
    <w:rsid w:val="002905F7"/>
    <w:rsid w:val="00290656"/>
    <w:rsid w:val="00290732"/>
    <w:rsid w:val="00290FA2"/>
    <w:rsid w:val="002921F6"/>
    <w:rsid w:val="0029281D"/>
    <w:rsid w:val="00292A16"/>
    <w:rsid w:val="00293459"/>
    <w:rsid w:val="00293AD2"/>
    <w:rsid w:val="00296B6B"/>
    <w:rsid w:val="002A2D2B"/>
    <w:rsid w:val="002A2F30"/>
    <w:rsid w:val="002A3134"/>
    <w:rsid w:val="002A3470"/>
    <w:rsid w:val="002A3B5C"/>
    <w:rsid w:val="002A4423"/>
    <w:rsid w:val="002A487C"/>
    <w:rsid w:val="002A4EE8"/>
    <w:rsid w:val="002A551E"/>
    <w:rsid w:val="002A6966"/>
    <w:rsid w:val="002A788D"/>
    <w:rsid w:val="002B05D2"/>
    <w:rsid w:val="002B1C25"/>
    <w:rsid w:val="002B2F9B"/>
    <w:rsid w:val="002B4027"/>
    <w:rsid w:val="002B463E"/>
    <w:rsid w:val="002C1627"/>
    <w:rsid w:val="002C1768"/>
    <w:rsid w:val="002C1E5B"/>
    <w:rsid w:val="002C2075"/>
    <w:rsid w:val="002C2482"/>
    <w:rsid w:val="002C351D"/>
    <w:rsid w:val="002C4B13"/>
    <w:rsid w:val="002C4F83"/>
    <w:rsid w:val="002C68FE"/>
    <w:rsid w:val="002C77F1"/>
    <w:rsid w:val="002D308D"/>
    <w:rsid w:val="002D3C7B"/>
    <w:rsid w:val="002D40D6"/>
    <w:rsid w:val="002D4FF9"/>
    <w:rsid w:val="002D5D91"/>
    <w:rsid w:val="002D626A"/>
    <w:rsid w:val="002D683B"/>
    <w:rsid w:val="002D7E06"/>
    <w:rsid w:val="002E19DB"/>
    <w:rsid w:val="002E21DA"/>
    <w:rsid w:val="002E3791"/>
    <w:rsid w:val="002E4044"/>
    <w:rsid w:val="002E4A63"/>
    <w:rsid w:val="002E5E31"/>
    <w:rsid w:val="002E69F7"/>
    <w:rsid w:val="002E6CB1"/>
    <w:rsid w:val="002F0A22"/>
    <w:rsid w:val="002F15B8"/>
    <w:rsid w:val="002F15BD"/>
    <w:rsid w:val="002F1D8A"/>
    <w:rsid w:val="002F3664"/>
    <w:rsid w:val="002F6A9E"/>
    <w:rsid w:val="00301B7C"/>
    <w:rsid w:val="00301DB0"/>
    <w:rsid w:val="00302F24"/>
    <w:rsid w:val="0030369D"/>
    <w:rsid w:val="00303A44"/>
    <w:rsid w:val="003040E2"/>
    <w:rsid w:val="003041B3"/>
    <w:rsid w:val="00305658"/>
    <w:rsid w:val="003073E0"/>
    <w:rsid w:val="003077B5"/>
    <w:rsid w:val="0031035F"/>
    <w:rsid w:val="00312FD4"/>
    <w:rsid w:val="00314770"/>
    <w:rsid w:val="0031494A"/>
    <w:rsid w:val="00315589"/>
    <w:rsid w:val="0031606B"/>
    <w:rsid w:val="00316867"/>
    <w:rsid w:val="00316B35"/>
    <w:rsid w:val="00320621"/>
    <w:rsid w:val="003209A9"/>
    <w:rsid w:val="0032328C"/>
    <w:rsid w:val="00323C64"/>
    <w:rsid w:val="003240EF"/>
    <w:rsid w:val="00324457"/>
    <w:rsid w:val="00325A85"/>
    <w:rsid w:val="00331C14"/>
    <w:rsid w:val="00332725"/>
    <w:rsid w:val="0033325B"/>
    <w:rsid w:val="003410CB"/>
    <w:rsid w:val="0034234D"/>
    <w:rsid w:val="003429D2"/>
    <w:rsid w:val="00342AF1"/>
    <w:rsid w:val="00343753"/>
    <w:rsid w:val="00346675"/>
    <w:rsid w:val="00346CAF"/>
    <w:rsid w:val="003501AF"/>
    <w:rsid w:val="00353737"/>
    <w:rsid w:val="00362BD8"/>
    <w:rsid w:val="0036421B"/>
    <w:rsid w:val="00364AAD"/>
    <w:rsid w:val="00367264"/>
    <w:rsid w:val="00367F06"/>
    <w:rsid w:val="003707D8"/>
    <w:rsid w:val="00371213"/>
    <w:rsid w:val="00372019"/>
    <w:rsid w:val="00372EE9"/>
    <w:rsid w:val="00373937"/>
    <w:rsid w:val="0037438A"/>
    <w:rsid w:val="003744BD"/>
    <w:rsid w:val="00374525"/>
    <w:rsid w:val="003803E4"/>
    <w:rsid w:val="003813FD"/>
    <w:rsid w:val="00381DBB"/>
    <w:rsid w:val="00384DF8"/>
    <w:rsid w:val="0038589C"/>
    <w:rsid w:val="0038608E"/>
    <w:rsid w:val="00386A3E"/>
    <w:rsid w:val="00387ADA"/>
    <w:rsid w:val="00390D04"/>
    <w:rsid w:val="00391522"/>
    <w:rsid w:val="003923EC"/>
    <w:rsid w:val="003926FF"/>
    <w:rsid w:val="00394305"/>
    <w:rsid w:val="0039462F"/>
    <w:rsid w:val="003956FB"/>
    <w:rsid w:val="00395B59"/>
    <w:rsid w:val="00395F70"/>
    <w:rsid w:val="003965DF"/>
    <w:rsid w:val="003A125B"/>
    <w:rsid w:val="003A2C7F"/>
    <w:rsid w:val="003A3023"/>
    <w:rsid w:val="003A309F"/>
    <w:rsid w:val="003A3E8E"/>
    <w:rsid w:val="003A4727"/>
    <w:rsid w:val="003B0532"/>
    <w:rsid w:val="003B0923"/>
    <w:rsid w:val="003B0D33"/>
    <w:rsid w:val="003B0FE9"/>
    <w:rsid w:val="003B1B27"/>
    <w:rsid w:val="003B2018"/>
    <w:rsid w:val="003B28E6"/>
    <w:rsid w:val="003B4FC5"/>
    <w:rsid w:val="003B5FB0"/>
    <w:rsid w:val="003B6272"/>
    <w:rsid w:val="003B70CA"/>
    <w:rsid w:val="003B7CAA"/>
    <w:rsid w:val="003C15B1"/>
    <w:rsid w:val="003C3E4F"/>
    <w:rsid w:val="003C4238"/>
    <w:rsid w:val="003C4D83"/>
    <w:rsid w:val="003C4F37"/>
    <w:rsid w:val="003C69A4"/>
    <w:rsid w:val="003C6B97"/>
    <w:rsid w:val="003D08A7"/>
    <w:rsid w:val="003D13BD"/>
    <w:rsid w:val="003D19BE"/>
    <w:rsid w:val="003D2298"/>
    <w:rsid w:val="003E0F1A"/>
    <w:rsid w:val="003E17D7"/>
    <w:rsid w:val="003E2F19"/>
    <w:rsid w:val="003E4EFE"/>
    <w:rsid w:val="003E6D45"/>
    <w:rsid w:val="003E7E62"/>
    <w:rsid w:val="003F030E"/>
    <w:rsid w:val="003F0DB7"/>
    <w:rsid w:val="003F14CD"/>
    <w:rsid w:val="003F2347"/>
    <w:rsid w:val="003F2A99"/>
    <w:rsid w:val="003F3000"/>
    <w:rsid w:val="003F4982"/>
    <w:rsid w:val="003F53C3"/>
    <w:rsid w:val="003F55A6"/>
    <w:rsid w:val="003F5EB0"/>
    <w:rsid w:val="003F6418"/>
    <w:rsid w:val="00402064"/>
    <w:rsid w:val="00402C13"/>
    <w:rsid w:val="00402C92"/>
    <w:rsid w:val="00405226"/>
    <w:rsid w:val="00407A14"/>
    <w:rsid w:val="00407DB3"/>
    <w:rsid w:val="00410C24"/>
    <w:rsid w:val="0041111D"/>
    <w:rsid w:val="004116DA"/>
    <w:rsid w:val="00411808"/>
    <w:rsid w:val="004125E2"/>
    <w:rsid w:val="004137CA"/>
    <w:rsid w:val="00420040"/>
    <w:rsid w:val="004201ED"/>
    <w:rsid w:val="00421982"/>
    <w:rsid w:val="00422390"/>
    <w:rsid w:val="00424877"/>
    <w:rsid w:val="00424C26"/>
    <w:rsid w:val="004259F7"/>
    <w:rsid w:val="00425FFA"/>
    <w:rsid w:val="004268C5"/>
    <w:rsid w:val="004279DB"/>
    <w:rsid w:val="0043249D"/>
    <w:rsid w:val="00432FE7"/>
    <w:rsid w:val="00433191"/>
    <w:rsid w:val="00433FA0"/>
    <w:rsid w:val="00435EFD"/>
    <w:rsid w:val="00436C40"/>
    <w:rsid w:val="00436C7D"/>
    <w:rsid w:val="004372C9"/>
    <w:rsid w:val="00437542"/>
    <w:rsid w:val="00441ABF"/>
    <w:rsid w:val="0044317B"/>
    <w:rsid w:val="004438D7"/>
    <w:rsid w:val="004439D2"/>
    <w:rsid w:val="0044418E"/>
    <w:rsid w:val="00444B87"/>
    <w:rsid w:val="00444C6A"/>
    <w:rsid w:val="0044515A"/>
    <w:rsid w:val="0044604F"/>
    <w:rsid w:val="00450EFC"/>
    <w:rsid w:val="004534E4"/>
    <w:rsid w:val="00455201"/>
    <w:rsid w:val="00455FE5"/>
    <w:rsid w:val="0046071A"/>
    <w:rsid w:val="00462795"/>
    <w:rsid w:val="004640BC"/>
    <w:rsid w:val="00465EF2"/>
    <w:rsid w:val="00467819"/>
    <w:rsid w:val="004707C7"/>
    <w:rsid w:val="00471718"/>
    <w:rsid w:val="0047245B"/>
    <w:rsid w:val="00472696"/>
    <w:rsid w:val="00472A02"/>
    <w:rsid w:val="0047499C"/>
    <w:rsid w:val="004762DB"/>
    <w:rsid w:val="00481DBA"/>
    <w:rsid w:val="00484583"/>
    <w:rsid w:val="0048612E"/>
    <w:rsid w:val="00490EC2"/>
    <w:rsid w:val="004912EF"/>
    <w:rsid w:val="004929A0"/>
    <w:rsid w:val="00494E41"/>
    <w:rsid w:val="004A1C38"/>
    <w:rsid w:val="004A1FAF"/>
    <w:rsid w:val="004A2470"/>
    <w:rsid w:val="004A448E"/>
    <w:rsid w:val="004A4574"/>
    <w:rsid w:val="004A616E"/>
    <w:rsid w:val="004A7642"/>
    <w:rsid w:val="004B1C78"/>
    <w:rsid w:val="004B24EC"/>
    <w:rsid w:val="004B2E0C"/>
    <w:rsid w:val="004B4F99"/>
    <w:rsid w:val="004B5956"/>
    <w:rsid w:val="004B6106"/>
    <w:rsid w:val="004B6314"/>
    <w:rsid w:val="004C0B63"/>
    <w:rsid w:val="004C1CEE"/>
    <w:rsid w:val="004C3B94"/>
    <w:rsid w:val="004C4002"/>
    <w:rsid w:val="004C43FE"/>
    <w:rsid w:val="004C52FD"/>
    <w:rsid w:val="004C6FC3"/>
    <w:rsid w:val="004C74E7"/>
    <w:rsid w:val="004D2B3D"/>
    <w:rsid w:val="004D5B4B"/>
    <w:rsid w:val="004D5FFB"/>
    <w:rsid w:val="004E3572"/>
    <w:rsid w:val="004E3790"/>
    <w:rsid w:val="004E599F"/>
    <w:rsid w:val="004E738E"/>
    <w:rsid w:val="004E79AE"/>
    <w:rsid w:val="004F7238"/>
    <w:rsid w:val="00500514"/>
    <w:rsid w:val="0050087C"/>
    <w:rsid w:val="00501592"/>
    <w:rsid w:val="005069D7"/>
    <w:rsid w:val="005075B3"/>
    <w:rsid w:val="00507BA0"/>
    <w:rsid w:val="005104DD"/>
    <w:rsid w:val="00510698"/>
    <w:rsid w:val="005115C0"/>
    <w:rsid w:val="00511DE2"/>
    <w:rsid w:val="005128AE"/>
    <w:rsid w:val="00512CF6"/>
    <w:rsid w:val="00512E20"/>
    <w:rsid w:val="00514E86"/>
    <w:rsid w:val="0051671A"/>
    <w:rsid w:val="0052122A"/>
    <w:rsid w:val="00522058"/>
    <w:rsid w:val="00522FA2"/>
    <w:rsid w:val="00524497"/>
    <w:rsid w:val="00524518"/>
    <w:rsid w:val="00525122"/>
    <w:rsid w:val="005300C6"/>
    <w:rsid w:val="0053058E"/>
    <w:rsid w:val="00532371"/>
    <w:rsid w:val="00533184"/>
    <w:rsid w:val="00533228"/>
    <w:rsid w:val="0053475C"/>
    <w:rsid w:val="005349A9"/>
    <w:rsid w:val="00534BD7"/>
    <w:rsid w:val="005354E2"/>
    <w:rsid w:val="0053598B"/>
    <w:rsid w:val="005376D4"/>
    <w:rsid w:val="00540233"/>
    <w:rsid w:val="005406A7"/>
    <w:rsid w:val="005415A1"/>
    <w:rsid w:val="0054195B"/>
    <w:rsid w:val="00541F93"/>
    <w:rsid w:val="005434D9"/>
    <w:rsid w:val="00546F59"/>
    <w:rsid w:val="00547772"/>
    <w:rsid w:val="005509FE"/>
    <w:rsid w:val="005524A9"/>
    <w:rsid w:val="00552F84"/>
    <w:rsid w:val="005530AC"/>
    <w:rsid w:val="00553207"/>
    <w:rsid w:val="00554C5F"/>
    <w:rsid w:val="0055521A"/>
    <w:rsid w:val="005573BA"/>
    <w:rsid w:val="00557D01"/>
    <w:rsid w:val="0056138D"/>
    <w:rsid w:val="00562A47"/>
    <w:rsid w:val="00566505"/>
    <w:rsid w:val="00566A6A"/>
    <w:rsid w:val="00567096"/>
    <w:rsid w:val="00567BAF"/>
    <w:rsid w:val="00567DF7"/>
    <w:rsid w:val="00567EEF"/>
    <w:rsid w:val="005717E1"/>
    <w:rsid w:val="00575175"/>
    <w:rsid w:val="005755FF"/>
    <w:rsid w:val="00577207"/>
    <w:rsid w:val="00577F46"/>
    <w:rsid w:val="0058302F"/>
    <w:rsid w:val="005832F4"/>
    <w:rsid w:val="00583E4B"/>
    <w:rsid w:val="00584BB4"/>
    <w:rsid w:val="0058588A"/>
    <w:rsid w:val="00585931"/>
    <w:rsid w:val="00585A0A"/>
    <w:rsid w:val="005875A4"/>
    <w:rsid w:val="005902EB"/>
    <w:rsid w:val="00592AF0"/>
    <w:rsid w:val="00594AA2"/>
    <w:rsid w:val="0059538A"/>
    <w:rsid w:val="00595E83"/>
    <w:rsid w:val="005A013A"/>
    <w:rsid w:val="005A0252"/>
    <w:rsid w:val="005A2933"/>
    <w:rsid w:val="005A4349"/>
    <w:rsid w:val="005A4853"/>
    <w:rsid w:val="005A4C9C"/>
    <w:rsid w:val="005A4D81"/>
    <w:rsid w:val="005A6041"/>
    <w:rsid w:val="005A60B3"/>
    <w:rsid w:val="005A67F9"/>
    <w:rsid w:val="005B172D"/>
    <w:rsid w:val="005B1ECB"/>
    <w:rsid w:val="005B2113"/>
    <w:rsid w:val="005B3B5B"/>
    <w:rsid w:val="005B3D8F"/>
    <w:rsid w:val="005B481D"/>
    <w:rsid w:val="005B55C5"/>
    <w:rsid w:val="005B56C8"/>
    <w:rsid w:val="005B76A3"/>
    <w:rsid w:val="005C0E79"/>
    <w:rsid w:val="005C0F95"/>
    <w:rsid w:val="005C1182"/>
    <w:rsid w:val="005C3787"/>
    <w:rsid w:val="005C45AF"/>
    <w:rsid w:val="005C4B0E"/>
    <w:rsid w:val="005C5283"/>
    <w:rsid w:val="005C6F52"/>
    <w:rsid w:val="005D0A5E"/>
    <w:rsid w:val="005D0AEE"/>
    <w:rsid w:val="005D2B23"/>
    <w:rsid w:val="005D2BDB"/>
    <w:rsid w:val="005D2E8B"/>
    <w:rsid w:val="005D3097"/>
    <w:rsid w:val="005D3DBB"/>
    <w:rsid w:val="005D45C1"/>
    <w:rsid w:val="005D570A"/>
    <w:rsid w:val="005D73E3"/>
    <w:rsid w:val="005E2096"/>
    <w:rsid w:val="005E2804"/>
    <w:rsid w:val="005E3072"/>
    <w:rsid w:val="005E3173"/>
    <w:rsid w:val="005E4A39"/>
    <w:rsid w:val="005E6543"/>
    <w:rsid w:val="005F171C"/>
    <w:rsid w:val="005F1DCA"/>
    <w:rsid w:val="005F302F"/>
    <w:rsid w:val="005F45F2"/>
    <w:rsid w:val="005F51EA"/>
    <w:rsid w:val="00601067"/>
    <w:rsid w:val="0060243F"/>
    <w:rsid w:val="006048E3"/>
    <w:rsid w:val="0060674A"/>
    <w:rsid w:val="006071D5"/>
    <w:rsid w:val="00607DF6"/>
    <w:rsid w:val="00610191"/>
    <w:rsid w:val="0061067C"/>
    <w:rsid w:val="00615C0F"/>
    <w:rsid w:val="006167FE"/>
    <w:rsid w:val="00617BEB"/>
    <w:rsid w:val="00620F02"/>
    <w:rsid w:val="0062195C"/>
    <w:rsid w:val="00623B77"/>
    <w:rsid w:val="00627E4B"/>
    <w:rsid w:val="00631CE3"/>
    <w:rsid w:val="00631F69"/>
    <w:rsid w:val="006324C6"/>
    <w:rsid w:val="00632D09"/>
    <w:rsid w:val="00632D1E"/>
    <w:rsid w:val="00632D49"/>
    <w:rsid w:val="00637D16"/>
    <w:rsid w:val="006401E3"/>
    <w:rsid w:val="006405F5"/>
    <w:rsid w:val="00641CD1"/>
    <w:rsid w:val="0064229D"/>
    <w:rsid w:val="00645B9A"/>
    <w:rsid w:val="006463DC"/>
    <w:rsid w:val="0064647F"/>
    <w:rsid w:val="00647551"/>
    <w:rsid w:val="0065151F"/>
    <w:rsid w:val="00651CB6"/>
    <w:rsid w:val="00652262"/>
    <w:rsid w:val="006528DE"/>
    <w:rsid w:val="0065356D"/>
    <w:rsid w:val="0065364C"/>
    <w:rsid w:val="00653969"/>
    <w:rsid w:val="00653E35"/>
    <w:rsid w:val="00656503"/>
    <w:rsid w:val="006571B3"/>
    <w:rsid w:val="00661877"/>
    <w:rsid w:val="00662416"/>
    <w:rsid w:val="0066273C"/>
    <w:rsid w:val="0066327D"/>
    <w:rsid w:val="006635AB"/>
    <w:rsid w:val="00664F10"/>
    <w:rsid w:val="00670534"/>
    <w:rsid w:val="006724E0"/>
    <w:rsid w:val="00673D80"/>
    <w:rsid w:val="00677F99"/>
    <w:rsid w:val="00680ADB"/>
    <w:rsid w:val="0068131F"/>
    <w:rsid w:val="00682E84"/>
    <w:rsid w:val="00683D43"/>
    <w:rsid w:val="0068576F"/>
    <w:rsid w:val="0068694E"/>
    <w:rsid w:val="00686D0B"/>
    <w:rsid w:val="006910AC"/>
    <w:rsid w:val="00695813"/>
    <w:rsid w:val="0069700F"/>
    <w:rsid w:val="006A009F"/>
    <w:rsid w:val="006A0A36"/>
    <w:rsid w:val="006A0CCC"/>
    <w:rsid w:val="006A121A"/>
    <w:rsid w:val="006A1A64"/>
    <w:rsid w:val="006A24AA"/>
    <w:rsid w:val="006A2683"/>
    <w:rsid w:val="006A2C27"/>
    <w:rsid w:val="006A3221"/>
    <w:rsid w:val="006A61A2"/>
    <w:rsid w:val="006A6402"/>
    <w:rsid w:val="006A6959"/>
    <w:rsid w:val="006A7D8E"/>
    <w:rsid w:val="006B0E82"/>
    <w:rsid w:val="006B180F"/>
    <w:rsid w:val="006B219F"/>
    <w:rsid w:val="006B3FE5"/>
    <w:rsid w:val="006B5013"/>
    <w:rsid w:val="006B6E7A"/>
    <w:rsid w:val="006B70F6"/>
    <w:rsid w:val="006B7AEA"/>
    <w:rsid w:val="006C06CD"/>
    <w:rsid w:val="006C1F23"/>
    <w:rsid w:val="006C3CCA"/>
    <w:rsid w:val="006C40D0"/>
    <w:rsid w:val="006C51B0"/>
    <w:rsid w:val="006C5C67"/>
    <w:rsid w:val="006C5EB4"/>
    <w:rsid w:val="006C6B46"/>
    <w:rsid w:val="006C6EE1"/>
    <w:rsid w:val="006D05E8"/>
    <w:rsid w:val="006D11FF"/>
    <w:rsid w:val="006D1500"/>
    <w:rsid w:val="006D1CC8"/>
    <w:rsid w:val="006D1DB2"/>
    <w:rsid w:val="006D278D"/>
    <w:rsid w:val="006D2A5A"/>
    <w:rsid w:val="006D5872"/>
    <w:rsid w:val="006E01D2"/>
    <w:rsid w:val="006E05B5"/>
    <w:rsid w:val="006E215A"/>
    <w:rsid w:val="006E3720"/>
    <w:rsid w:val="006E38E8"/>
    <w:rsid w:val="006F19EC"/>
    <w:rsid w:val="006F2233"/>
    <w:rsid w:val="006F306C"/>
    <w:rsid w:val="006F3CAD"/>
    <w:rsid w:val="006F46B4"/>
    <w:rsid w:val="006F7633"/>
    <w:rsid w:val="006F79B0"/>
    <w:rsid w:val="006F7A1E"/>
    <w:rsid w:val="006F7D99"/>
    <w:rsid w:val="00701169"/>
    <w:rsid w:val="007030DB"/>
    <w:rsid w:val="007068FA"/>
    <w:rsid w:val="00706D84"/>
    <w:rsid w:val="00706ECD"/>
    <w:rsid w:val="0071065B"/>
    <w:rsid w:val="00713938"/>
    <w:rsid w:val="00713C54"/>
    <w:rsid w:val="007147E2"/>
    <w:rsid w:val="0071665F"/>
    <w:rsid w:val="007171CD"/>
    <w:rsid w:val="007210A1"/>
    <w:rsid w:val="007217DB"/>
    <w:rsid w:val="00721920"/>
    <w:rsid w:val="00721D04"/>
    <w:rsid w:val="00726BF7"/>
    <w:rsid w:val="0072717F"/>
    <w:rsid w:val="0072783C"/>
    <w:rsid w:val="00730242"/>
    <w:rsid w:val="00732322"/>
    <w:rsid w:val="00732603"/>
    <w:rsid w:val="00732AF7"/>
    <w:rsid w:val="00734402"/>
    <w:rsid w:val="007365A5"/>
    <w:rsid w:val="00736BE4"/>
    <w:rsid w:val="007375E0"/>
    <w:rsid w:val="00741415"/>
    <w:rsid w:val="007415C7"/>
    <w:rsid w:val="007417A0"/>
    <w:rsid w:val="00741C85"/>
    <w:rsid w:val="00742272"/>
    <w:rsid w:val="00742FE4"/>
    <w:rsid w:val="00743606"/>
    <w:rsid w:val="00743A3C"/>
    <w:rsid w:val="00744778"/>
    <w:rsid w:val="007449BC"/>
    <w:rsid w:val="00744D24"/>
    <w:rsid w:val="007453BA"/>
    <w:rsid w:val="00747622"/>
    <w:rsid w:val="00747BE2"/>
    <w:rsid w:val="00751497"/>
    <w:rsid w:val="007523A3"/>
    <w:rsid w:val="00752566"/>
    <w:rsid w:val="00754873"/>
    <w:rsid w:val="00757246"/>
    <w:rsid w:val="00760D98"/>
    <w:rsid w:val="00761129"/>
    <w:rsid w:val="00763861"/>
    <w:rsid w:val="00765270"/>
    <w:rsid w:val="0076741B"/>
    <w:rsid w:val="00771EE1"/>
    <w:rsid w:val="00772676"/>
    <w:rsid w:val="00772F76"/>
    <w:rsid w:val="00773816"/>
    <w:rsid w:val="00774E09"/>
    <w:rsid w:val="00774E30"/>
    <w:rsid w:val="007770CE"/>
    <w:rsid w:val="0077752C"/>
    <w:rsid w:val="00780ED1"/>
    <w:rsid w:val="00781BF9"/>
    <w:rsid w:val="0078210B"/>
    <w:rsid w:val="00782914"/>
    <w:rsid w:val="00782EC5"/>
    <w:rsid w:val="00783224"/>
    <w:rsid w:val="00784D51"/>
    <w:rsid w:val="00785B8D"/>
    <w:rsid w:val="00785DE1"/>
    <w:rsid w:val="00786BEB"/>
    <w:rsid w:val="007873C8"/>
    <w:rsid w:val="0078795D"/>
    <w:rsid w:val="00787A97"/>
    <w:rsid w:val="00790361"/>
    <w:rsid w:val="00790A8F"/>
    <w:rsid w:val="007911D2"/>
    <w:rsid w:val="00791757"/>
    <w:rsid w:val="00792EBF"/>
    <w:rsid w:val="00792ED6"/>
    <w:rsid w:val="007931D7"/>
    <w:rsid w:val="007967D5"/>
    <w:rsid w:val="007A05A3"/>
    <w:rsid w:val="007A073A"/>
    <w:rsid w:val="007A1733"/>
    <w:rsid w:val="007A2DD3"/>
    <w:rsid w:val="007A325F"/>
    <w:rsid w:val="007A4499"/>
    <w:rsid w:val="007A48D9"/>
    <w:rsid w:val="007A4E11"/>
    <w:rsid w:val="007A6B23"/>
    <w:rsid w:val="007A6C82"/>
    <w:rsid w:val="007A7E42"/>
    <w:rsid w:val="007B0538"/>
    <w:rsid w:val="007B41D7"/>
    <w:rsid w:val="007B6D62"/>
    <w:rsid w:val="007C16D3"/>
    <w:rsid w:val="007C299F"/>
    <w:rsid w:val="007C3A77"/>
    <w:rsid w:val="007C58A7"/>
    <w:rsid w:val="007C6133"/>
    <w:rsid w:val="007C64EE"/>
    <w:rsid w:val="007C6658"/>
    <w:rsid w:val="007C6CF1"/>
    <w:rsid w:val="007D0F31"/>
    <w:rsid w:val="007D1BC3"/>
    <w:rsid w:val="007D214C"/>
    <w:rsid w:val="007D4234"/>
    <w:rsid w:val="007D4B6E"/>
    <w:rsid w:val="007D4D25"/>
    <w:rsid w:val="007D4FCC"/>
    <w:rsid w:val="007D610F"/>
    <w:rsid w:val="007D6BBE"/>
    <w:rsid w:val="007D77DA"/>
    <w:rsid w:val="007D7F80"/>
    <w:rsid w:val="007E007D"/>
    <w:rsid w:val="007E0E89"/>
    <w:rsid w:val="007E10CB"/>
    <w:rsid w:val="007E180F"/>
    <w:rsid w:val="007E2926"/>
    <w:rsid w:val="007E7213"/>
    <w:rsid w:val="007E77F6"/>
    <w:rsid w:val="007F0418"/>
    <w:rsid w:val="007F1A57"/>
    <w:rsid w:val="007F24FB"/>
    <w:rsid w:val="008025B3"/>
    <w:rsid w:val="00802FC7"/>
    <w:rsid w:val="008033A4"/>
    <w:rsid w:val="00804334"/>
    <w:rsid w:val="00806C90"/>
    <w:rsid w:val="008071FE"/>
    <w:rsid w:val="008106ED"/>
    <w:rsid w:val="00810D30"/>
    <w:rsid w:val="0081106D"/>
    <w:rsid w:val="0081197D"/>
    <w:rsid w:val="00814774"/>
    <w:rsid w:val="008148B0"/>
    <w:rsid w:val="008159D7"/>
    <w:rsid w:val="00815AFA"/>
    <w:rsid w:val="008160F3"/>
    <w:rsid w:val="0081729A"/>
    <w:rsid w:val="00820995"/>
    <w:rsid w:val="0082205C"/>
    <w:rsid w:val="00822429"/>
    <w:rsid w:val="00823406"/>
    <w:rsid w:val="008239C2"/>
    <w:rsid w:val="008254B3"/>
    <w:rsid w:val="0082583D"/>
    <w:rsid w:val="00827348"/>
    <w:rsid w:val="0082780A"/>
    <w:rsid w:val="0083239A"/>
    <w:rsid w:val="008347BA"/>
    <w:rsid w:val="00835F6A"/>
    <w:rsid w:val="00842FB8"/>
    <w:rsid w:val="0084636A"/>
    <w:rsid w:val="00850122"/>
    <w:rsid w:val="00852AC5"/>
    <w:rsid w:val="0085323C"/>
    <w:rsid w:val="00857AF2"/>
    <w:rsid w:val="00857CEC"/>
    <w:rsid w:val="008603C9"/>
    <w:rsid w:val="00860E5B"/>
    <w:rsid w:val="008611B6"/>
    <w:rsid w:val="00863D27"/>
    <w:rsid w:val="00863D29"/>
    <w:rsid w:val="00865698"/>
    <w:rsid w:val="0086789E"/>
    <w:rsid w:val="00867ADA"/>
    <w:rsid w:val="00870900"/>
    <w:rsid w:val="00870A8D"/>
    <w:rsid w:val="00870C6C"/>
    <w:rsid w:val="008721E8"/>
    <w:rsid w:val="008754BB"/>
    <w:rsid w:val="00875F87"/>
    <w:rsid w:val="0087692F"/>
    <w:rsid w:val="00876A5B"/>
    <w:rsid w:val="00877B19"/>
    <w:rsid w:val="00877BD6"/>
    <w:rsid w:val="008802F0"/>
    <w:rsid w:val="00880554"/>
    <w:rsid w:val="00881C46"/>
    <w:rsid w:val="008821B3"/>
    <w:rsid w:val="0088287D"/>
    <w:rsid w:val="00884199"/>
    <w:rsid w:val="00885DFE"/>
    <w:rsid w:val="00890669"/>
    <w:rsid w:val="0089184F"/>
    <w:rsid w:val="00891D10"/>
    <w:rsid w:val="00893166"/>
    <w:rsid w:val="0089365A"/>
    <w:rsid w:val="00895D17"/>
    <w:rsid w:val="008A32C4"/>
    <w:rsid w:val="008A536C"/>
    <w:rsid w:val="008A551B"/>
    <w:rsid w:val="008B117D"/>
    <w:rsid w:val="008B11D8"/>
    <w:rsid w:val="008B4F9E"/>
    <w:rsid w:val="008B62FA"/>
    <w:rsid w:val="008B75F6"/>
    <w:rsid w:val="008C0817"/>
    <w:rsid w:val="008C0E5A"/>
    <w:rsid w:val="008C1990"/>
    <w:rsid w:val="008C5E96"/>
    <w:rsid w:val="008C6172"/>
    <w:rsid w:val="008C61FA"/>
    <w:rsid w:val="008D0623"/>
    <w:rsid w:val="008D1F1F"/>
    <w:rsid w:val="008D2D83"/>
    <w:rsid w:val="008D4C40"/>
    <w:rsid w:val="008D6563"/>
    <w:rsid w:val="008D6CB9"/>
    <w:rsid w:val="008D748B"/>
    <w:rsid w:val="008D797B"/>
    <w:rsid w:val="008D7FDC"/>
    <w:rsid w:val="008E09CA"/>
    <w:rsid w:val="008E1E7F"/>
    <w:rsid w:val="008E6405"/>
    <w:rsid w:val="008E6820"/>
    <w:rsid w:val="008F05C0"/>
    <w:rsid w:val="008F0B32"/>
    <w:rsid w:val="008F102F"/>
    <w:rsid w:val="008F38CE"/>
    <w:rsid w:val="00900270"/>
    <w:rsid w:val="00904153"/>
    <w:rsid w:val="00904DBA"/>
    <w:rsid w:val="00905695"/>
    <w:rsid w:val="0090624A"/>
    <w:rsid w:val="009066D1"/>
    <w:rsid w:val="00913228"/>
    <w:rsid w:val="00915548"/>
    <w:rsid w:val="00916DCF"/>
    <w:rsid w:val="009172D1"/>
    <w:rsid w:val="00920BC4"/>
    <w:rsid w:val="00920CE3"/>
    <w:rsid w:val="009219B4"/>
    <w:rsid w:val="00922E7C"/>
    <w:rsid w:val="009235B7"/>
    <w:rsid w:val="00923D38"/>
    <w:rsid w:val="00923FEB"/>
    <w:rsid w:val="00924186"/>
    <w:rsid w:val="0092528F"/>
    <w:rsid w:val="00925973"/>
    <w:rsid w:val="0092733B"/>
    <w:rsid w:val="009300FD"/>
    <w:rsid w:val="00931104"/>
    <w:rsid w:val="00932E43"/>
    <w:rsid w:val="00933CDB"/>
    <w:rsid w:val="00933F75"/>
    <w:rsid w:val="009357B7"/>
    <w:rsid w:val="00937E3D"/>
    <w:rsid w:val="00937E8E"/>
    <w:rsid w:val="009416C3"/>
    <w:rsid w:val="009417A1"/>
    <w:rsid w:val="0094381C"/>
    <w:rsid w:val="00943CE5"/>
    <w:rsid w:val="009477BF"/>
    <w:rsid w:val="0095009C"/>
    <w:rsid w:val="0095184A"/>
    <w:rsid w:val="00951BD1"/>
    <w:rsid w:val="00952668"/>
    <w:rsid w:val="00952CB1"/>
    <w:rsid w:val="00953BD1"/>
    <w:rsid w:val="0095486B"/>
    <w:rsid w:val="00954D98"/>
    <w:rsid w:val="00954E19"/>
    <w:rsid w:val="00955A86"/>
    <w:rsid w:val="00955FBD"/>
    <w:rsid w:val="00956F50"/>
    <w:rsid w:val="009571C8"/>
    <w:rsid w:val="00957A7B"/>
    <w:rsid w:val="00961C5E"/>
    <w:rsid w:val="00961F39"/>
    <w:rsid w:val="0096247F"/>
    <w:rsid w:val="0096372B"/>
    <w:rsid w:val="009648AD"/>
    <w:rsid w:val="00967C05"/>
    <w:rsid w:val="0097035E"/>
    <w:rsid w:val="00971D07"/>
    <w:rsid w:val="00973553"/>
    <w:rsid w:val="0097756E"/>
    <w:rsid w:val="009777FA"/>
    <w:rsid w:val="00977E3D"/>
    <w:rsid w:val="0098194C"/>
    <w:rsid w:val="00984666"/>
    <w:rsid w:val="009853A3"/>
    <w:rsid w:val="00985E96"/>
    <w:rsid w:val="009863E9"/>
    <w:rsid w:val="0098705C"/>
    <w:rsid w:val="00990558"/>
    <w:rsid w:val="009907E4"/>
    <w:rsid w:val="009917B3"/>
    <w:rsid w:val="00991B48"/>
    <w:rsid w:val="00992296"/>
    <w:rsid w:val="009925D1"/>
    <w:rsid w:val="009928A1"/>
    <w:rsid w:val="009934D6"/>
    <w:rsid w:val="00993B06"/>
    <w:rsid w:val="009A0892"/>
    <w:rsid w:val="009A0BBC"/>
    <w:rsid w:val="009A1CA6"/>
    <w:rsid w:val="009A36B2"/>
    <w:rsid w:val="009A50EF"/>
    <w:rsid w:val="009A55D9"/>
    <w:rsid w:val="009B1CAD"/>
    <w:rsid w:val="009B35F5"/>
    <w:rsid w:val="009B3C5D"/>
    <w:rsid w:val="009B4B95"/>
    <w:rsid w:val="009B7A1E"/>
    <w:rsid w:val="009C0495"/>
    <w:rsid w:val="009C0728"/>
    <w:rsid w:val="009C0A9E"/>
    <w:rsid w:val="009C380C"/>
    <w:rsid w:val="009C6138"/>
    <w:rsid w:val="009C7290"/>
    <w:rsid w:val="009C7D20"/>
    <w:rsid w:val="009D01AF"/>
    <w:rsid w:val="009D36D1"/>
    <w:rsid w:val="009D457A"/>
    <w:rsid w:val="009D52A3"/>
    <w:rsid w:val="009D5EAA"/>
    <w:rsid w:val="009D62EE"/>
    <w:rsid w:val="009D799C"/>
    <w:rsid w:val="009D7B7B"/>
    <w:rsid w:val="009E0A61"/>
    <w:rsid w:val="009E0C88"/>
    <w:rsid w:val="009E0F6A"/>
    <w:rsid w:val="009E15AF"/>
    <w:rsid w:val="009E21AC"/>
    <w:rsid w:val="009E2AC0"/>
    <w:rsid w:val="009E3891"/>
    <w:rsid w:val="009E3C86"/>
    <w:rsid w:val="009E47A3"/>
    <w:rsid w:val="009E4EAB"/>
    <w:rsid w:val="009E523F"/>
    <w:rsid w:val="009E5E46"/>
    <w:rsid w:val="009E76AF"/>
    <w:rsid w:val="009E76BD"/>
    <w:rsid w:val="009F15DC"/>
    <w:rsid w:val="009F1741"/>
    <w:rsid w:val="009F177C"/>
    <w:rsid w:val="009F2060"/>
    <w:rsid w:val="009F426C"/>
    <w:rsid w:val="009F54AB"/>
    <w:rsid w:val="009F6E0C"/>
    <w:rsid w:val="009F7082"/>
    <w:rsid w:val="00A01FCC"/>
    <w:rsid w:val="00A021CC"/>
    <w:rsid w:val="00A029D8"/>
    <w:rsid w:val="00A03FF5"/>
    <w:rsid w:val="00A04875"/>
    <w:rsid w:val="00A05A5D"/>
    <w:rsid w:val="00A06611"/>
    <w:rsid w:val="00A06777"/>
    <w:rsid w:val="00A07EA0"/>
    <w:rsid w:val="00A12360"/>
    <w:rsid w:val="00A1452A"/>
    <w:rsid w:val="00A1588A"/>
    <w:rsid w:val="00A16643"/>
    <w:rsid w:val="00A20A0E"/>
    <w:rsid w:val="00A21D50"/>
    <w:rsid w:val="00A230D1"/>
    <w:rsid w:val="00A249E3"/>
    <w:rsid w:val="00A25536"/>
    <w:rsid w:val="00A257A4"/>
    <w:rsid w:val="00A2593B"/>
    <w:rsid w:val="00A25B1E"/>
    <w:rsid w:val="00A279CF"/>
    <w:rsid w:val="00A31284"/>
    <w:rsid w:val="00A3129C"/>
    <w:rsid w:val="00A3342D"/>
    <w:rsid w:val="00A3378B"/>
    <w:rsid w:val="00A34B21"/>
    <w:rsid w:val="00A350D0"/>
    <w:rsid w:val="00A35766"/>
    <w:rsid w:val="00A36228"/>
    <w:rsid w:val="00A363A1"/>
    <w:rsid w:val="00A37C49"/>
    <w:rsid w:val="00A37EF8"/>
    <w:rsid w:val="00A40B8E"/>
    <w:rsid w:val="00A42D98"/>
    <w:rsid w:val="00A454DE"/>
    <w:rsid w:val="00A47720"/>
    <w:rsid w:val="00A50B51"/>
    <w:rsid w:val="00A52636"/>
    <w:rsid w:val="00A530FB"/>
    <w:rsid w:val="00A54463"/>
    <w:rsid w:val="00A56025"/>
    <w:rsid w:val="00A60180"/>
    <w:rsid w:val="00A61BA5"/>
    <w:rsid w:val="00A660A7"/>
    <w:rsid w:val="00A66DC8"/>
    <w:rsid w:val="00A67FD1"/>
    <w:rsid w:val="00A72D1B"/>
    <w:rsid w:val="00A7322D"/>
    <w:rsid w:val="00A738A2"/>
    <w:rsid w:val="00A73BF9"/>
    <w:rsid w:val="00A75D14"/>
    <w:rsid w:val="00A77758"/>
    <w:rsid w:val="00A80C9E"/>
    <w:rsid w:val="00A810AB"/>
    <w:rsid w:val="00A810C9"/>
    <w:rsid w:val="00A8184E"/>
    <w:rsid w:val="00A81A8C"/>
    <w:rsid w:val="00A82200"/>
    <w:rsid w:val="00A9035C"/>
    <w:rsid w:val="00A91A10"/>
    <w:rsid w:val="00A91FB5"/>
    <w:rsid w:val="00A92812"/>
    <w:rsid w:val="00A934B8"/>
    <w:rsid w:val="00A9432A"/>
    <w:rsid w:val="00A95E2C"/>
    <w:rsid w:val="00AA039E"/>
    <w:rsid w:val="00AA09E0"/>
    <w:rsid w:val="00AA2C90"/>
    <w:rsid w:val="00AA2D6D"/>
    <w:rsid w:val="00AA4A2C"/>
    <w:rsid w:val="00AA5694"/>
    <w:rsid w:val="00AA6569"/>
    <w:rsid w:val="00AA7435"/>
    <w:rsid w:val="00AA7516"/>
    <w:rsid w:val="00AB0475"/>
    <w:rsid w:val="00AB12C1"/>
    <w:rsid w:val="00AB1FA9"/>
    <w:rsid w:val="00AB6571"/>
    <w:rsid w:val="00AB7FE8"/>
    <w:rsid w:val="00AC1487"/>
    <w:rsid w:val="00AC2310"/>
    <w:rsid w:val="00AC250B"/>
    <w:rsid w:val="00AC3D7C"/>
    <w:rsid w:val="00AC4646"/>
    <w:rsid w:val="00AC655F"/>
    <w:rsid w:val="00AC65CD"/>
    <w:rsid w:val="00AC6687"/>
    <w:rsid w:val="00AD0470"/>
    <w:rsid w:val="00AD11FA"/>
    <w:rsid w:val="00AD125E"/>
    <w:rsid w:val="00AD25ED"/>
    <w:rsid w:val="00AD3812"/>
    <w:rsid w:val="00AD5227"/>
    <w:rsid w:val="00AD6243"/>
    <w:rsid w:val="00AD7519"/>
    <w:rsid w:val="00AE19CB"/>
    <w:rsid w:val="00AE2A6A"/>
    <w:rsid w:val="00AE3C77"/>
    <w:rsid w:val="00AE5432"/>
    <w:rsid w:val="00AF15A3"/>
    <w:rsid w:val="00AF3D14"/>
    <w:rsid w:val="00AF439F"/>
    <w:rsid w:val="00AF59F0"/>
    <w:rsid w:val="00AF626F"/>
    <w:rsid w:val="00AF6C92"/>
    <w:rsid w:val="00B03645"/>
    <w:rsid w:val="00B03C0D"/>
    <w:rsid w:val="00B04BFF"/>
    <w:rsid w:val="00B06766"/>
    <w:rsid w:val="00B06DBE"/>
    <w:rsid w:val="00B1075D"/>
    <w:rsid w:val="00B11052"/>
    <w:rsid w:val="00B12DA6"/>
    <w:rsid w:val="00B1576A"/>
    <w:rsid w:val="00B160E3"/>
    <w:rsid w:val="00B20BC9"/>
    <w:rsid w:val="00B21391"/>
    <w:rsid w:val="00B22B85"/>
    <w:rsid w:val="00B22FA9"/>
    <w:rsid w:val="00B263BA"/>
    <w:rsid w:val="00B26766"/>
    <w:rsid w:val="00B30F26"/>
    <w:rsid w:val="00B31220"/>
    <w:rsid w:val="00B32B77"/>
    <w:rsid w:val="00B32E39"/>
    <w:rsid w:val="00B3327C"/>
    <w:rsid w:val="00B332DC"/>
    <w:rsid w:val="00B349F6"/>
    <w:rsid w:val="00B34B7C"/>
    <w:rsid w:val="00B34BE2"/>
    <w:rsid w:val="00B363EA"/>
    <w:rsid w:val="00B3774D"/>
    <w:rsid w:val="00B3799A"/>
    <w:rsid w:val="00B433E6"/>
    <w:rsid w:val="00B43F9A"/>
    <w:rsid w:val="00B44200"/>
    <w:rsid w:val="00B45A28"/>
    <w:rsid w:val="00B46337"/>
    <w:rsid w:val="00B47B5F"/>
    <w:rsid w:val="00B47C0B"/>
    <w:rsid w:val="00B50738"/>
    <w:rsid w:val="00B50761"/>
    <w:rsid w:val="00B5467B"/>
    <w:rsid w:val="00B5596C"/>
    <w:rsid w:val="00B55DE4"/>
    <w:rsid w:val="00B564B6"/>
    <w:rsid w:val="00B56606"/>
    <w:rsid w:val="00B575C2"/>
    <w:rsid w:val="00B577E3"/>
    <w:rsid w:val="00B604EE"/>
    <w:rsid w:val="00B60F96"/>
    <w:rsid w:val="00B622DD"/>
    <w:rsid w:val="00B62337"/>
    <w:rsid w:val="00B65057"/>
    <w:rsid w:val="00B659B7"/>
    <w:rsid w:val="00B67A89"/>
    <w:rsid w:val="00B7012F"/>
    <w:rsid w:val="00B70698"/>
    <w:rsid w:val="00B70873"/>
    <w:rsid w:val="00B7166C"/>
    <w:rsid w:val="00B72DF1"/>
    <w:rsid w:val="00B72F0A"/>
    <w:rsid w:val="00B743CA"/>
    <w:rsid w:val="00B74AA4"/>
    <w:rsid w:val="00B75547"/>
    <w:rsid w:val="00B764D9"/>
    <w:rsid w:val="00B82013"/>
    <w:rsid w:val="00B83774"/>
    <w:rsid w:val="00B84C21"/>
    <w:rsid w:val="00B84F99"/>
    <w:rsid w:val="00B85041"/>
    <w:rsid w:val="00B91D31"/>
    <w:rsid w:val="00B92D9B"/>
    <w:rsid w:val="00B97BF8"/>
    <w:rsid w:val="00BA06FD"/>
    <w:rsid w:val="00BA2C23"/>
    <w:rsid w:val="00BA2EA9"/>
    <w:rsid w:val="00BA3AFD"/>
    <w:rsid w:val="00BA76D0"/>
    <w:rsid w:val="00BA7830"/>
    <w:rsid w:val="00BB3C47"/>
    <w:rsid w:val="00BB3E55"/>
    <w:rsid w:val="00BB4CD4"/>
    <w:rsid w:val="00BB4FBB"/>
    <w:rsid w:val="00BB7699"/>
    <w:rsid w:val="00BC022C"/>
    <w:rsid w:val="00BC0DAD"/>
    <w:rsid w:val="00BC10B0"/>
    <w:rsid w:val="00BC1803"/>
    <w:rsid w:val="00BC1C15"/>
    <w:rsid w:val="00BC3B61"/>
    <w:rsid w:val="00BC49F0"/>
    <w:rsid w:val="00BC62EF"/>
    <w:rsid w:val="00BD0693"/>
    <w:rsid w:val="00BD2436"/>
    <w:rsid w:val="00BD2F5B"/>
    <w:rsid w:val="00BD31E1"/>
    <w:rsid w:val="00BD6219"/>
    <w:rsid w:val="00BE0D48"/>
    <w:rsid w:val="00BE14E4"/>
    <w:rsid w:val="00BE2C40"/>
    <w:rsid w:val="00BE46B5"/>
    <w:rsid w:val="00BE4FF2"/>
    <w:rsid w:val="00BE6985"/>
    <w:rsid w:val="00BE72A5"/>
    <w:rsid w:val="00BF0D37"/>
    <w:rsid w:val="00BF2B16"/>
    <w:rsid w:val="00BF3F58"/>
    <w:rsid w:val="00BF3FE6"/>
    <w:rsid w:val="00BF47A9"/>
    <w:rsid w:val="00BF531B"/>
    <w:rsid w:val="00BF59C2"/>
    <w:rsid w:val="00BF59E4"/>
    <w:rsid w:val="00C00530"/>
    <w:rsid w:val="00C02117"/>
    <w:rsid w:val="00C039C0"/>
    <w:rsid w:val="00C068CA"/>
    <w:rsid w:val="00C10C93"/>
    <w:rsid w:val="00C11D6B"/>
    <w:rsid w:val="00C12B20"/>
    <w:rsid w:val="00C143EB"/>
    <w:rsid w:val="00C166BC"/>
    <w:rsid w:val="00C23B8A"/>
    <w:rsid w:val="00C250B3"/>
    <w:rsid w:val="00C25E66"/>
    <w:rsid w:val="00C272F3"/>
    <w:rsid w:val="00C30119"/>
    <w:rsid w:val="00C3152D"/>
    <w:rsid w:val="00C3290C"/>
    <w:rsid w:val="00C331DC"/>
    <w:rsid w:val="00C33498"/>
    <w:rsid w:val="00C33B1E"/>
    <w:rsid w:val="00C3513D"/>
    <w:rsid w:val="00C36A76"/>
    <w:rsid w:val="00C36D67"/>
    <w:rsid w:val="00C37143"/>
    <w:rsid w:val="00C3720F"/>
    <w:rsid w:val="00C3781A"/>
    <w:rsid w:val="00C37A60"/>
    <w:rsid w:val="00C4018D"/>
    <w:rsid w:val="00C4042F"/>
    <w:rsid w:val="00C40449"/>
    <w:rsid w:val="00C40698"/>
    <w:rsid w:val="00C41086"/>
    <w:rsid w:val="00C41D06"/>
    <w:rsid w:val="00C4417E"/>
    <w:rsid w:val="00C44730"/>
    <w:rsid w:val="00C44879"/>
    <w:rsid w:val="00C457E6"/>
    <w:rsid w:val="00C46EE9"/>
    <w:rsid w:val="00C472ED"/>
    <w:rsid w:val="00C47B66"/>
    <w:rsid w:val="00C50FDF"/>
    <w:rsid w:val="00C5246E"/>
    <w:rsid w:val="00C53E1A"/>
    <w:rsid w:val="00C54055"/>
    <w:rsid w:val="00C54E09"/>
    <w:rsid w:val="00C5589D"/>
    <w:rsid w:val="00C55E88"/>
    <w:rsid w:val="00C56861"/>
    <w:rsid w:val="00C56BFD"/>
    <w:rsid w:val="00C5766F"/>
    <w:rsid w:val="00C60973"/>
    <w:rsid w:val="00C61D25"/>
    <w:rsid w:val="00C62C4D"/>
    <w:rsid w:val="00C64E8E"/>
    <w:rsid w:val="00C65C4E"/>
    <w:rsid w:val="00C67810"/>
    <w:rsid w:val="00C70A6E"/>
    <w:rsid w:val="00C71450"/>
    <w:rsid w:val="00C71A95"/>
    <w:rsid w:val="00C7227F"/>
    <w:rsid w:val="00C73683"/>
    <w:rsid w:val="00C745AC"/>
    <w:rsid w:val="00C75465"/>
    <w:rsid w:val="00C75567"/>
    <w:rsid w:val="00C75F61"/>
    <w:rsid w:val="00C76BA6"/>
    <w:rsid w:val="00C83177"/>
    <w:rsid w:val="00C83941"/>
    <w:rsid w:val="00C83E7C"/>
    <w:rsid w:val="00C859E7"/>
    <w:rsid w:val="00C862D4"/>
    <w:rsid w:val="00C869CD"/>
    <w:rsid w:val="00C86A59"/>
    <w:rsid w:val="00C8745F"/>
    <w:rsid w:val="00C9123E"/>
    <w:rsid w:val="00C91585"/>
    <w:rsid w:val="00C92803"/>
    <w:rsid w:val="00C92EBC"/>
    <w:rsid w:val="00C93068"/>
    <w:rsid w:val="00C93C3E"/>
    <w:rsid w:val="00C94B59"/>
    <w:rsid w:val="00C9654E"/>
    <w:rsid w:val="00C965CE"/>
    <w:rsid w:val="00C96FA6"/>
    <w:rsid w:val="00C976BD"/>
    <w:rsid w:val="00CA1269"/>
    <w:rsid w:val="00CA3A47"/>
    <w:rsid w:val="00CA5CBD"/>
    <w:rsid w:val="00CA6412"/>
    <w:rsid w:val="00CA6933"/>
    <w:rsid w:val="00CB2252"/>
    <w:rsid w:val="00CB3B37"/>
    <w:rsid w:val="00CB4299"/>
    <w:rsid w:val="00CB443F"/>
    <w:rsid w:val="00CB4E68"/>
    <w:rsid w:val="00CB5996"/>
    <w:rsid w:val="00CB797E"/>
    <w:rsid w:val="00CC1990"/>
    <w:rsid w:val="00CC4E08"/>
    <w:rsid w:val="00CC672D"/>
    <w:rsid w:val="00CD2D74"/>
    <w:rsid w:val="00CD735E"/>
    <w:rsid w:val="00CD78B4"/>
    <w:rsid w:val="00CE1769"/>
    <w:rsid w:val="00CE25AF"/>
    <w:rsid w:val="00CE2AA3"/>
    <w:rsid w:val="00CE31EA"/>
    <w:rsid w:val="00CE35CF"/>
    <w:rsid w:val="00CE377E"/>
    <w:rsid w:val="00CE4157"/>
    <w:rsid w:val="00CE4312"/>
    <w:rsid w:val="00CE4BE8"/>
    <w:rsid w:val="00CE7900"/>
    <w:rsid w:val="00CF1D5E"/>
    <w:rsid w:val="00CF340A"/>
    <w:rsid w:val="00CF381C"/>
    <w:rsid w:val="00CF3C98"/>
    <w:rsid w:val="00CF42DC"/>
    <w:rsid w:val="00CF494F"/>
    <w:rsid w:val="00CF750E"/>
    <w:rsid w:val="00CF75BB"/>
    <w:rsid w:val="00D01FD7"/>
    <w:rsid w:val="00D02406"/>
    <w:rsid w:val="00D03D2E"/>
    <w:rsid w:val="00D03FEA"/>
    <w:rsid w:val="00D04936"/>
    <w:rsid w:val="00D04A00"/>
    <w:rsid w:val="00D06235"/>
    <w:rsid w:val="00D06E1D"/>
    <w:rsid w:val="00D10FC3"/>
    <w:rsid w:val="00D13D95"/>
    <w:rsid w:val="00D13E7C"/>
    <w:rsid w:val="00D1542D"/>
    <w:rsid w:val="00D15DDB"/>
    <w:rsid w:val="00D15E13"/>
    <w:rsid w:val="00D16F28"/>
    <w:rsid w:val="00D17969"/>
    <w:rsid w:val="00D20355"/>
    <w:rsid w:val="00D209F2"/>
    <w:rsid w:val="00D20D3A"/>
    <w:rsid w:val="00D223C3"/>
    <w:rsid w:val="00D22505"/>
    <w:rsid w:val="00D22D44"/>
    <w:rsid w:val="00D2311B"/>
    <w:rsid w:val="00D245F0"/>
    <w:rsid w:val="00D26321"/>
    <w:rsid w:val="00D2632F"/>
    <w:rsid w:val="00D2713C"/>
    <w:rsid w:val="00D30C03"/>
    <w:rsid w:val="00D31B8F"/>
    <w:rsid w:val="00D31EF2"/>
    <w:rsid w:val="00D32B91"/>
    <w:rsid w:val="00D33E53"/>
    <w:rsid w:val="00D34251"/>
    <w:rsid w:val="00D35B19"/>
    <w:rsid w:val="00D3603C"/>
    <w:rsid w:val="00D4056B"/>
    <w:rsid w:val="00D411BB"/>
    <w:rsid w:val="00D43997"/>
    <w:rsid w:val="00D510A0"/>
    <w:rsid w:val="00D52293"/>
    <w:rsid w:val="00D52E53"/>
    <w:rsid w:val="00D53C9E"/>
    <w:rsid w:val="00D54573"/>
    <w:rsid w:val="00D5580E"/>
    <w:rsid w:val="00D55A97"/>
    <w:rsid w:val="00D60B56"/>
    <w:rsid w:val="00D615A6"/>
    <w:rsid w:val="00D61795"/>
    <w:rsid w:val="00D61A70"/>
    <w:rsid w:val="00D6218A"/>
    <w:rsid w:val="00D6572D"/>
    <w:rsid w:val="00D65975"/>
    <w:rsid w:val="00D65AAF"/>
    <w:rsid w:val="00D662EF"/>
    <w:rsid w:val="00D67354"/>
    <w:rsid w:val="00D70081"/>
    <w:rsid w:val="00D7073E"/>
    <w:rsid w:val="00D7082A"/>
    <w:rsid w:val="00D70C47"/>
    <w:rsid w:val="00D70F14"/>
    <w:rsid w:val="00D7100F"/>
    <w:rsid w:val="00D71DDF"/>
    <w:rsid w:val="00D720C0"/>
    <w:rsid w:val="00D730B0"/>
    <w:rsid w:val="00D748FF"/>
    <w:rsid w:val="00D74FF4"/>
    <w:rsid w:val="00D809C3"/>
    <w:rsid w:val="00D81274"/>
    <w:rsid w:val="00D81D6B"/>
    <w:rsid w:val="00D823A8"/>
    <w:rsid w:val="00D8246B"/>
    <w:rsid w:val="00D82890"/>
    <w:rsid w:val="00D83227"/>
    <w:rsid w:val="00D83C2A"/>
    <w:rsid w:val="00D83D8E"/>
    <w:rsid w:val="00D843C2"/>
    <w:rsid w:val="00D8497A"/>
    <w:rsid w:val="00D86AA2"/>
    <w:rsid w:val="00D870E6"/>
    <w:rsid w:val="00D87780"/>
    <w:rsid w:val="00D87921"/>
    <w:rsid w:val="00D900CD"/>
    <w:rsid w:val="00D9202A"/>
    <w:rsid w:val="00D934F5"/>
    <w:rsid w:val="00D9403E"/>
    <w:rsid w:val="00D9538B"/>
    <w:rsid w:val="00D96030"/>
    <w:rsid w:val="00D97EED"/>
    <w:rsid w:val="00DA1103"/>
    <w:rsid w:val="00DA145F"/>
    <w:rsid w:val="00DA195E"/>
    <w:rsid w:val="00DA4706"/>
    <w:rsid w:val="00DA602E"/>
    <w:rsid w:val="00DA66B7"/>
    <w:rsid w:val="00DA695C"/>
    <w:rsid w:val="00DA7074"/>
    <w:rsid w:val="00DB004A"/>
    <w:rsid w:val="00DB13EE"/>
    <w:rsid w:val="00DB2CAA"/>
    <w:rsid w:val="00DB3B80"/>
    <w:rsid w:val="00DB452A"/>
    <w:rsid w:val="00DC1A3D"/>
    <w:rsid w:val="00DC25AC"/>
    <w:rsid w:val="00DC28FA"/>
    <w:rsid w:val="00DC3712"/>
    <w:rsid w:val="00DC4597"/>
    <w:rsid w:val="00DC6C6C"/>
    <w:rsid w:val="00DC6EE0"/>
    <w:rsid w:val="00DD1042"/>
    <w:rsid w:val="00DD16F2"/>
    <w:rsid w:val="00DD3649"/>
    <w:rsid w:val="00DD4186"/>
    <w:rsid w:val="00DD53D6"/>
    <w:rsid w:val="00DD5FA8"/>
    <w:rsid w:val="00DD6E3C"/>
    <w:rsid w:val="00DD6F2D"/>
    <w:rsid w:val="00DE29D3"/>
    <w:rsid w:val="00DE4492"/>
    <w:rsid w:val="00DE6C03"/>
    <w:rsid w:val="00DF0189"/>
    <w:rsid w:val="00DF0F42"/>
    <w:rsid w:val="00DF13BF"/>
    <w:rsid w:val="00DF1BA0"/>
    <w:rsid w:val="00DF2435"/>
    <w:rsid w:val="00DF2907"/>
    <w:rsid w:val="00DF2EB9"/>
    <w:rsid w:val="00DF384D"/>
    <w:rsid w:val="00DF43A4"/>
    <w:rsid w:val="00DF693E"/>
    <w:rsid w:val="00DF7428"/>
    <w:rsid w:val="00DF7579"/>
    <w:rsid w:val="00E00B1D"/>
    <w:rsid w:val="00E02168"/>
    <w:rsid w:val="00E04334"/>
    <w:rsid w:val="00E04CC8"/>
    <w:rsid w:val="00E0621D"/>
    <w:rsid w:val="00E062EE"/>
    <w:rsid w:val="00E064D4"/>
    <w:rsid w:val="00E072BD"/>
    <w:rsid w:val="00E109BD"/>
    <w:rsid w:val="00E10D53"/>
    <w:rsid w:val="00E10D7A"/>
    <w:rsid w:val="00E10F03"/>
    <w:rsid w:val="00E11E74"/>
    <w:rsid w:val="00E12ABA"/>
    <w:rsid w:val="00E131AA"/>
    <w:rsid w:val="00E149BC"/>
    <w:rsid w:val="00E16FCC"/>
    <w:rsid w:val="00E1725A"/>
    <w:rsid w:val="00E21449"/>
    <w:rsid w:val="00E232C8"/>
    <w:rsid w:val="00E23413"/>
    <w:rsid w:val="00E32CC4"/>
    <w:rsid w:val="00E3348E"/>
    <w:rsid w:val="00E34A51"/>
    <w:rsid w:val="00E3527B"/>
    <w:rsid w:val="00E352C6"/>
    <w:rsid w:val="00E37EDD"/>
    <w:rsid w:val="00E405AB"/>
    <w:rsid w:val="00E407F4"/>
    <w:rsid w:val="00E41473"/>
    <w:rsid w:val="00E4156B"/>
    <w:rsid w:val="00E415F7"/>
    <w:rsid w:val="00E4228A"/>
    <w:rsid w:val="00E43911"/>
    <w:rsid w:val="00E46159"/>
    <w:rsid w:val="00E50281"/>
    <w:rsid w:val="00E50586"/>
    <w:rsid w:val="00E52AA1"/>
    <w:rsid w:val="00E53C32"/>
    <w:rsid w:val="00E54513"/>
    <w:rsid w:val="00E54A39"/>
    <w:rsid w:val="00E55A46"/>
    <w:rsid w:val="00E57633"/>
    <w:rsid w:val="00E576D7"/>
    <w:rsid w:val="00E603EA"/>
    <w:rsid w:val="00E604AC"/>
    <w:rsid w:val="00E62AA4"/>
    <w:rsid w:val="00E63825"/>
    <w:rsid w:val="00E6393D"/>
    <w:rsid w:val="00E641FA"/>
    <w:rsid w:val="00E70727"/>
    <w:rsid w:val="00E7519E"/>
    <w:rsid w:val="00E76B8D"/>
    <w:rsid w:val="00E7757C"/>
    <w:rsid w:val="00E82420"/>
    <w:rsid w:val="00E83020"/>
    <w:rsid w:val="00E83E7A"/>
    <w:rsid w:val="00E8415F"/>
    <w:rsid w:val="00E85552"/>
    <w:rsid w:val="00E857A4"/>
    <w:rsid w:val="00E85FE8"/>
    <w:rsid w:val="00E86CE4"/>
    <w:rsid w:val="00E91749"/>
    <w:rsid w:val="00E924F6"/>
    <w:rsid w:val="00E93068"/>
    <w:rsid w:val="00E938A5"/>
    <w:rsid w:val="00E93913"/>
    <w:rsid w:val="00E93EA3"/>
    <w:rsid w:val="00E94434"/>
    <w:rsid w:val="00E949B4"/>
    <w:rsid w:val="00E97565"/>
    <w:rsid w:val="00E97AD8"/>
    <w:rsid w:val="00EA2183"/>
    <w:rsid w:val="00EA3051"/>
    <w:rsid w:val="00EA53C7"/>
    <w:rsid w:val="00EA5F1D"/>
    <w:rsid w:val="00EA6ABC"/>
    <w:rsid w:val="00EA7349"/>
    <w:rsid w:val="00EB0020"/>
    <w:rsid w:val="00EB14BE"/>
    <w:rsid w:val="00EB1751"/>
    <w:rsid w:val="00EB20E2"/>
    <w:rsid w:val="00EB2DA5"/>
    <w:rsid w:val="00EB4A8E"/>
    <w:rsid w:val="00EB4C94"/>
    <w:rsid w:val="00EB5856"/>
    <w:rsid w:val="00EB6387"/>
    <w:rsid w:val="00EB64BF"/>
    <w:rsid w:val="00EB6C64"/>
    <w:rsid w:val="00EC00A5"/>
    <w:rsid w:val="00EC1CE9"/>
    <w:rsid w:val="00EC2CB0"/>
    <w:rsid w:val="00EC6679"/>
    <w:rsid w:val="00EC73F5"/>
    <w:rsid w:val="00ED04F9"/>
    <w:rsid w:val="00ED1D0F"/>
    <w:rsid w:val="00ED3273"/>
    <w:rsid w:val="00ED39C5"/>
    <w:rsid w:val="00ED51DF"/>
    <w:rsid w:val="00ED7484"/>
    <w:rsid w:val="00ED79B9"/>
    <w:rsid w:val="00EE0AED"/>
    <w:rsid w:val="00EE1023"/>
    <w:rsid w:val="00EE11E1"/>
    <w:rsid w:val="00EE2815"/>
    <w:rsid w:val="00EE33BD"/>
    <w:rsid w:val="00EE381A"/>
    <w:rsid w:val="00EE7047"/>
    <w:rsid w:val="00EF216A"/>
    <w:rsid w:val="00EF3132"/>
    <w:rsid w:val="00EF70AA"/>
    <w:rsid w:val="00F0091D"/>
    <w:rsid w:val="00F00F55"/>
    <w:rsid w:val="00F0220F"/>
    <w:rsid w:val="00F025B4"/>
    <w:rsid w:val="00F0382E"/>
    <w:rsid w:val="00F041B8"/>
    <w:rsid w:val="00F0592C"/>
    <w:rsid w:val="00F07518"/>
    <w:rsid w:val="00F07550"/>
    <w:rsid w:val="00F07CC7"/>
    <w:rsid w:val="00F1049E"/>
    <w:rsid w:val="00F1184F"/>
    <w:rsid w:val="00F121E9"/>
    <w:rsid w:val="00F12E79"/>
    <w:rsid w:val="00F144B7"/>
    <w:rsid w:val="00F1601C"/>
    <w:rsid w:val="00F16F25"/>
    <w:rsid w:val="00F1716C"/>
    <w:rsid w:val="00F20053"/>
    <w:rsid w:val="00F20638"/>
    <w:rsid w:val="00F2081A"/>
    <w:rsid w:val="00F21796"/>
    <w:rsid w:val="00F21C50"/>
    <w:rsid w:val="00F23CCF"/>
    <w:rsid w:val="00F241D5"/>
    <w:rsid w:val="00F24DB0"/>
    <w:rsid w:val="00F26EE4"/>
    <w:rsid w:val="00F2730A"/>
    <w:rsid w:val="00F27724"/>
    <w:rsid w:val="00F31CA7"/>
    <w:rsid w:val="00F31E15"/>
    <w:rsid w:val="00F33B79"/>
    <w:rsid w:val="00F34C38"/>
    <w:rsid w:val="00F361A1"/>
    <w:rsid w:val="00F36893"/>
    <w:rsid w:val="00F36955"/>
    <w:rsid w:val="00F40566"/>
    <w:rsid w:val="00F44E96"/>
    <w:rsid w:val="00F45366"/>
    <w:rsid w:val="00F45CE0"/>
    <w:rsid w:val="00F4610D"/>
    <w:rsid w:val="00F46281"/>
    <w:rsid w:val="00F47C1C"/>
    <w:rsid w:val="00F51234"/>
    <w:rsid w:val="00F51E10"/>
    <w:rsid w:val="00F52023"/>
    <w:rsid w:val="00F52217"/>
    <w:rsid w:val="00F53BE9"/>
    <w:rsid w:val="00F55250"/>
    <w:rsid w:val="00F564D4"/>
    <w:rsid w:val="00F57C75"/>
    <w:rsid w:val="00F6193D"/>
    <w:rsid w:val="00F6247B"/>
    <w:rsid w:val="00F638A5"/>
    <w:rsid w:val="00F642AC"/>
    <w:rsid w:val="00F6534E"/>
    <w:rsid w:val="00F66E60"/>
    <w:rsid w:val="00F70A11"/>
    <w:rsid w:val="00F72E6F"/>
    <w:rsid w:val="00F73004"/>
    <w:rsid w:val="00F73C3E"/>
    <w:rsid w:val="00F7466A"/>
    <w:rsid w:val="00F75CFC"/>
    <w:rsid w:val="00F76739"/>
    <w:rsid w:val="00F8025B"/>
    <w:rsid w:val="00F806BB"/>
    <w:rsid w:val="00F8294B"/>
    <w:rsid w:val="00F82FCA"/>
    <w:rsid w:val="00F845B7"/>
    <w:rsid w:val="00F84F97"/>
    <w:rsid w:val="00F85D75"/>
    <w:rsid w:val="00F85FDB"/>
    <w:rsid w:val="00F87A43"/>
    <w:rsid w:val="00F90169"/>
    <w:rsid w:val="00F908F8"/>
    <w:rsid w:val="00F90BD2"/>
    <w:rsid w:val="00F91E91"/>
    <w:rsid w:val="00F93D15"/>
    <w:rsid w:val="00F9548D"/>
    <w:rsid w:val="00F95D3E"/>
    <w:rsid w:val="00F968A1"/>
    <w:rsid w:val="00F9700F"/>
    <w:rsid w:val="00FA0A2F"/>
    <w:rsid w:val="00FA0BC7"/>
    <w:rsid w:val="00FA10D5"/>
    <w:rsid w:val="00FA1F6C"/>
    <w:rsid w:val="00FA1FCD"/>
    <w:rsid w:val="00FA3291"/>
    <w:rsid w:val="00FA3CD7"/>
    <w:rsid w:val="00FA47BA"/>
    <w:rsid w:val="00FA4AD5"/>
    <w:rsid w:val="00FA4F4C"/>
    <w:rsid w:val="00FA51FA"/>
    <w:rsid w:val="00FA56F5"/>
    <w:rsid w:val="00FA57B8"/>
    <w:rsid w:val="00FA60A7"/>
    <w:rsid w:val="00FA617E"/>
    <w:rsid w:val="00FA677F"/>
    <w:rsid w:val="00FB09E3"/>
    <w:rsid w:val="00FB1521"/>
    <w:rsid w:val="00FB1736"/>
    <w:rsid w:val="00FB17B1"/>
    <w:rsid w:val="00FB297E"/>
    <w:rsid w:val="00FB32EE"/>
    <w:rsid w:val="00FB3B30"/>
    <w:rsid w:val="00FB5378"/>
    <w:rsid w:val="00FB7D9B"/>
    <w:rsid w:val="00FC0336"/>
    <w:rsid w:val="00FC0422"/>
    <w:rsid w:val="00FC0AB2"/>
    <w:rsid w:val="00FC1616"/>
    <w:rsid w:val="00FC24AB"/>
    <w:rsid w:val="00FC2FC9"/>
    <w:rsid w:val="00FC3508"/>
    <w:rsid w:val="00FC36C9"/>
    <w:rsid w:val="00FC5FE9"/>
    <w:rsid w:val="00FC60EB"/>
    <w:rsid w:val="00FC6114"/>
    <w:rsid w:val="00FD02F3"/>
    <w:rsid w:val="00FD116D"/>
    <w:rsid w:val="00FD26DD"/>
    <w:rsid w:val="00FD2918"/>
    <w:rsid w:val="00FD3B2E"/>
    <w:rsid w:val="00FD5E82"/>
    <w:rsid w:val="00FD6779"/>
    <w:rsid w:val="00FD71C8"/>
    <w:rsid w:val="00FE13CC"/>
    <w:rsid w:val="00FE1B56"/>
    <w:rsid w:val="00FE2341"/>
    <w:rsid w:val="00FE3D36"/>
    <w:rsid w:val="00FE3D44"/>
    <w:rsid w:val="00FE53EF"/>
    <w:rsid w:val="00FE6C94"/>
    <w:rsid w:val="00FE7E75"/>
    <w:rsid w:val="00FF09E6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6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55D9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0C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4228A"/>
    <w:pPr>
      <w:ind w:left="720"/>
      <w:contextualSpacing/>
    </w:pPr>
  </w:style>
  <w:style w:type="table" w:styleId="aa">
    <w:name w:val="Table Grid"/>
    <w:basedOn w:val="a1"/>
    <w:uiPriority w:val="59"/>
    <w:rsid w:val="0003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веб) Знак,Обычный (Web)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nhideWhenUsed/>
    <w:rsid w:val="003A3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55D9"/>
    <w:rPr>
      <w:rFonts w:ascii="Times New Roman" w:eastAsia="Times New Roman" w:hAnsi="Times New Roman"/>
      <w:iCs/>
      <w:sz w:val="28"/>
      <w:szCs w:val="24"/>
    </w:rPr>
  </w:style>
  <w:style w:type="paragraph" w:customStyle="1" w:styleId="ac">
    <w:name w:val="Знак Знак"/>
    <w:basedOn w:val="a"/>
    <w:rsid w:val="009A55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9A55D9"/>
    <w:pPr>
      <w:spacing w:after="0" w:line="240" w:lineRule="auto"/>
      <w:ind w:left="851" w:firstLine="84"/>
      <w:jc w:val="both"/>
    </w:pPr>
    <w:rPr>
      <w:rFonts w:ascii="Times New Roman" w:eastAsia="Times New Roman" w:hAnsi="Times New Roman"/>
      <w:i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5D9"/>
    <w:rPr>
      <w:rFonts w:ascii="Times New Roman" w:eastAsia="Times New Roman" w:hAnsi="Times New Roman"/>
      <w:iCs/>
      <w:sz w:val="24"/>
    </w:rPr>
  </w:style>
  <w:style w:type="paragraph" w:styleId="ad">
    <w:name w:val="Body Text"/>
    <w:basedOn w:val="a"/>
    <w:link w:val="ae"/>
    <w:rsid w:val="009A55D9"/>
    <w:pPr>
      <w:spacing w:after="12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e">
    <w:name w:val="Основной текст Знак"/>
    <w:basedOn w:val="a0"/>
    <w:link w:val="ad"/>
    <w:rsid w:val="009A55D9"/>
    <w:rPr>
      <w:rFonts w:ascii="Times New Roman" w:eastAsia="Batang" w:hAnsi="Times New Roman"/>
      <w:sz w:val="24"/>
      <w:szCs w:val="24"/>
      <w:lang w:eastAsia="ko-KR"/>
    </w:rPr>
  </w:style>
  <w:style w:type="character" w:customStyle="1" w:styleId="af">
    <w:name w:val="Основной текст_"/>
    <w:basedOn w:val="a0"/>
    <w:link w:val="6"/>
    <w:rsid w:val="002E37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2E3791"/>
    <w:pPr>
      <w:widowControl w:val="0"/>
      <w:shd w:val="clear" w:color="auto" w:fill="FFFFFF"/>
      <w:spacing w:after="60" w:line="0" w:lineRule="atLeast"/>
      <w:ind w:hanging="17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E29D3"/>
    <w:rPr>
      <w:b/>
      <w:bCs/>
    </w:rPr>
  </w:style>
  <w:style w:type="character" w:customStyle="1" w:styleId="21">
    <w:name w:val="Обычный (веб) Знак2"/>
    <w:aliases w:val="Обычный (веб) Знак Знак1,Обычный (Web)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"/>
    <w:link w:val="ab"/>
    <w:locked/>
    <w:rsid w:val="00DE29D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6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3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66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55D9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0C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8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0C9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4228A"/>
    <w:pPr>
      <w:ind w:left="720"/>
      <w:contextualSpacing/>
    </w:pPr>
  </w:style>
  <w:style w:type="table" w:styleId="aa">
    <w:name w:val="Table Grid"/>
    <w:basedOn w:val="a1"/>
    <w:uiPriority w:val="59"/>
    <w:rsid w:val="0003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веб) Знак,Обычный (Web)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nhideWhenUsed/>
    <w:rsid w:val="003A30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55D9"/>
    <w:rPr>
      <w:rFonts w:ascii="Times New Roman" w:eastAsia="Times New Roman" w:hAnsi="Times New Roman"/>
      <w:iCs/>
      <w:sz w:val="28"/>
      <w:szCs w:val="24"/>
    </w:rPr>
  </w:style>
  <w:style w:type="paragraph" w:customStyle="1" w:styleId="ac">
    <w:name w:val="Знак Знак"/>
    <w:basedOn w:val="a"/>
    <w:rsid w:val="009A55D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9A55D9"/>
    <w:pPr>
      <w:spacing w:after="0" w:line="240" w:lineRule="auto"/>
      <w:ind w:left="851" w:firstLine="84"/>
      <w:jc w:val="both"/>
    </w:pPr>
    <w:rPr>
      <w:rFonts w:ascii="Times New Roman" w:eastAsia="Times New Roman" w:hAnsi="Times New Roman"/>
      <w:iCs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55D9"/>
    <w:rPr>
      <w:rFonts w:ascii="Times New Roman" w:eastAsia="Times New Roman" w:hAnsi="Times New Roman"/>
      <w:iCs/>
      <w:sz w:val="24"/>
    </w:rPr>
  </w:style>
  <w:style w:type="paragraph" w:styleId="ad">
    <w:name w:val="Body Text"/>
    <w:basedOn w:val="a"/>
    <w:link w:val="ae"/>
    <w:rsid w:val="009A55D9"/>
    <w:pPr>
      <w:spacing w:after="12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e">
    <w:name w:val="Основной текст Знак"/>
    <w:basedOn w:val="a0"/>
    <w:link w:val="ad"/>
    <w:rsid w:val="009A55D9"/>
    <w:rPr>
      <w:rFonts w:ascii="Times New Roman" w:eastAsia="Batang" w:hAnsi="Times New Roman"/>
      <w:sz w:val="24"/>
      <w:szCs w:val="24"/>
      <w:lang w:eastAsia="ko-KR"/>
    </w:rPr>
  </w:style>
  <w:style w:type="character" w:customStyle="1" w:styleId="af">
    <w:name w:val="Основной текст_"/>
    <w:basedOn w:val="a0"/>
    <w:link w:val="6"/>
    <w:rsid w:val="002E37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2E3791"/>
    <w:pPr>
      <w:widowControl w:val="0"/>
      <w:shd w:val="clear" w:color="auto" w:fill="FFFFFF"/>
      <w:spacing w:after="60" w:line="0" w:lineRule="atLeast"/>
      <w:ind w:hanging="17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E29D3"/>
    <w:rPr>
      <w:b/>
      <w:bCs/>
    </w:rPr>
  </w:style>
  <w:style w:type="character" w:customStyle="1" w:styleId="21">
    <w:name w:val="Обычный (веб) Знак2"/>
    <w:aliases w:val="Обычный (веб) Знак Знак1,Обычный (Web)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"/>
    <w:link w:val="ab"/>
    <w:locked/>
    <w:rsid w:val="00DE29D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6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Сфера деятельности респондентов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А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C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F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G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722222222222222E-2"/>
                  <c:y val="-4.18509872195623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Q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S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Добыча полезных ископаемых</c:v>
                </c:pt>
                <c:pt idx="2">
                  <c:v>Обрабатывающее производство</c:v>
                </c:pt>
                <c:pt idx="3">
                  <c:v>Строительство</c:v>
                </c:pt>
                <c:pt idx="4">
                  <c:v>Торговля, ремонт автотранспортных средств</c:v>
                </c:pt>
                <c:pt idx="5">
                  <c:v>Деятельность финансовая и страховая</c:v>
                </c:pt>
                <c:pt idx="6">
                  <c:v>Здравоохранение и социальные услуги</c:v>
                </c:pt>
                <c:pt idx="7">
                  <c:v>Прочие виды услуг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6.7000000000000004E-2</c:v>
                </c:pt>
                <c:pt idx="1">
                  <c:v>6.7000000000000004E-2</c:v>
                </c:pt>
                <c:pt idx="2">
                  <c:v>0.3</c:v>
                </c:pt>
                <c:pt idx="3">
                  <c:v>0.1</c:v>
                </c:pt>
                <c:pt idx="4">
                  <c:v>0.2</c:v>
                </c:pt>
                <c:pt idx="5">
                  <c:v>6.7000000000000004E-2</c:v>
                </c:pt>
                <c:pt idx="6" formatCode="0%">
                  <c:v>6.7000000000000004E-2</c:v>
                </c:pt>
                <c:pt idx="7" formatCode="0%">
                  <c:v>0.13200000000000001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2225" cap="rnd" cmpd="sng" algn="ctr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Добыча полезных ископаемых</c:v>
                </c:pt>
                <c:pt idx="2">
                  <c:v>Обрабатывающее производство</c:v>
                </c:pt>
                <c:pt idx="3">
                  <c:v>Строительство</c:v>
                </c:pt>
                <c:pt idx="4">
                  <c:v>Торговля, ремонт автотранспортных средств</c:v>
                </c:pt>
                <c:pt idx="5">
                  <c:v>Деятельность финансовая и страховая</c:v>
                </c:pt>
                <c:pt idx="6">
                  <c:v>Здравоохранение и социальные услуги</c:v>
                </c:pt>
                <c:pt idx="7">
                  <c:v>Прочие виды услуг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Добыча полезных ископаемых</c:v>
                </c:pt>
                <c:pt idx="2">
                  <c:v>Обрабатывающее производство</c:v>
                </c:pt>
                <c:pt idx="3">
                  <c:v>Строительство</c:v>
                </c:pt>
                <c:pt idx="4">
                  <c:v>Торговля, ремонт автотранспортных средств</c:v>
                </c:pt>
                <c:pt idx="5">
                  <c:v>Деятельность финансовая и страховая</c:v>
                </c:pt>
                <c:pt idx="6">
                  <c:v>Здравоохранение и социальные услуги</c:v>
                </c:pt>
                <c:pt idx="7">
                  <c:v>Прочие виды услуг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229669888"/>
        <c:axId val="229862784"/>
      </c:lineChart>
      <c:catAx>
        <c:axId val="22966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862784"/>
        <c:crosses val="autoZero"/>
        <c:auto val="1"/>
        <c:lblAlgn val="ctr"/>
        <c:lblOffset val="100"/>
        <c:noMultiLvlLbl val="0"/>
      </c:catAx>
      <c:valAx>
        <c:axId val="229862784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66988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894545158599356E-2"/>
          <c:y val="0.18721343832020998"/>
          <c:w val="0.90511234545294239"/>
          <c:h val="0.493851128608923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0.22</c:v>
                </c:pt>
                <c:pt idx="2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0.32</c:v>
                </c:pt>
                <c:pt idx="2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0.04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0.2</c:v>
                </c:pt>
                <c:pt idx="1">
                  <c:v>0.2</c:v>
                </c:pt>
                <c:pt idx="2">
                  <c:v>0.18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31911424"/>
        <c:axId val="231912960"/>
      </c:barChart>
      <c:catAx>
        <c:axId val="231911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1912960"/>
        <c:crosses val="autoZero"/>
        <c:auto val="1"/>
        <c:lblAlgn val="ctr"/>
        <c:lblOffset val="100"/>
        <c:noMultiLvlLbl val="0"/>
      </c:catAx>
      <c:valAx>
        <c:axId val="23191296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31911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1749509993421366E-2"/>
          <c:y val="0.84080587926509176"/>
          <c:w val="0.95650098001315731"/>
          <c:h val="0.12081635120813153"/>
        </c:manualLayout>
      </c:layout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667117676181949"/>
          <c:y val="4.3650793650793648E-2"/>
          <c:w val="0.48058980515032518"/>
          <c:h val="0.773518310211223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</c:v>
                </c:pt>
              </c:strCache>
            </c:strRef>
          </c:tx>
          <c:spPr>
            <a:solidFill>
              <a:srgbClr val="C59A2D">
                <a:alpha val="84706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Информация на официальных сайтах МО</c:v>
                </c:pt>
                <c:pt idx="5">
                  <c:v>Официальная информация на сайте ФАС</c:v>
                </c:pt>
                <c:pt idx="6">
                  <c:v>Официальный портал об инвестиционной деятельности</c:v>
                </c:pt>
                <c:pt idx="7">
                  <c:v>Официальный сайт уполномоченного органа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0.54</c:v>
                </c:pt>
                <c:pt idx="1">
                  <c:v>0.7</c:v>
                </c:pt>
                <c:pt idx="2">
                  <c:v>0.54</c:v>
                </c:pt>
                <c:pt idx="3">
                  <c:v>0.42</c:v>
                </c:pt>
                <c:pt idx="4">
                  <c:v>0.38</c:v>
                </c:pt>
                <c:pt idx="5">
                  <c:v>0.57999999999999996</c:v>
                </c:pt>
                <c:pt idx="6">
                  <c:v>0.57999999999999996</c:v>
                </c:pt>
                <c:pt idx="7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Предпочитаю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Информация на официальных сайтах МО</c:v>
                </c:pt>
                <c:pt idx="5">
                  <c:v>Официальная информация на сайте ФАС</c:v>
                </c:pt>
                <c:pt idx="6">
                  <c:v>Официальный портал об инвестиционной деятельности</c:v>
                </c:pt>
                <c:pt idx="7">
                  <c:v>Официальный сайт уполномоченного органа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0.34</c:v>
                </c:pt>
                <c:pt idx="1">
                  <c:v>0.2</c:v>
                </c:pt>
                <c:pt idx="2">
                  <c:v>0.42</c:v>
                </c:pt>
                <c:pt idx="3">
                  <c:v>0.48</c:v>
                </c:pt>
                <c:pt idx="4">
                  <c:v>0.5</c:v>
                </c:pt>
                <c:pt idx="5">
                  <c:v>0.28000000000000003</c:v>
                </c:pt>
                <c:pt idx="6">
                  <c:v>0.3</c:v>
                </c:pt>
                <c:pt idx="7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Доверяю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2"/>
              <c:layout>
                <c:manualLayout>
                  <c:x val="-3.048943010030722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Информация на официальных сайтах МО</c:v>
                </c:pt>
                <c:pt idx="5">
                  <c:v>Официальная информация на сайте ФАС</c:v>
                </c:pt>
                <c:pt idx="6">
                  <c:v>Официальный портал об инвестиционной деятельности</c:v>
                </c:pt>
                <c:pt idx="7">
                  <c:v>Официальный сайт уполномоченного органа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0.12</c:v>
                </c:pt>
                <c:pt idx="1">
                  <c:v>0.1</c:v>
                </c:pt>
                <c:pt idx="2">
                  <c:v>0.04</c:v>
                </c:pt>
                <c:pt idx="3">
                  <c:v>0.1</c:v>
                </c:pt>
                <c:pt idx="4">
                  <c:v>0.12</c:v>
                </c:pt>
                <c:pt idx="5">
                  <c:v>0.14000000000000001</c:v>
                </c:pt>
                <c:pt idx="6">
                  <c:v>0.12</c:v>
                </c:pt>
                <c:pt idx="7">
                  <c:v>0.08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1924096"/>
        <c:axId val="231474688"/>
      </c:barChart>
      <c:catAx>
        <c:axId val="231924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1474688"/>
        <c:crosses val="autoZero"/>
        <c:auto val="1"/>
        <c:lblAlgn val="ctr"/>
        <c:lblOffset val="100"/>
        <c:noMultiLvlLbl val="0"/>
      </c:catAx>
      <c:valAx>
        <c:axId val="23147468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92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667117676181949"/>
          <c:y val="4.3650793650793648E-2"/>
          <c:w val="0.48058980515032518"/>
          <c:h val="0.773518310211223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</c:v>
                </c:pt>
              </c:strCache>
            </c:strRef>
          </c:tx>
          <c:spPr>
            <a:solidFill>
              <a:srgbClr val="C59A2D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Информация на официальных сайтах МО</c:v>
                </c:pt>
                <c:pt idx="5">
                  <c:v>Официальная информация на сайте ФАС</c:v>
                </c:pt>
                <c:pt idx="6">
                  <c:v>Официальный портал об инвестиционной деятельности</c:v>
                </c:pt>
                <c:pt idx="7">
                  <c:v>Официальный сайт уполномоченного органа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</c:v>
                </c:pt>
                <c:pt idx="1">
                  <c:v>0.7</c:v>
                </c:pt>
                <c:pt idx="2">
                  <c:v>0.5</c:v>
                </c:pt>
                <c:pt idx="3">
                  <c:v>0.43</c:v>
                </c:pt>
                <c:pt idx="4">
                  <c:v>0.4</c:v>
                </c:pt>
                <c:pt idx="5">
                  <c:v>0.433</c:v>
                </c:pt>
                <c:pt idx="6">
                  <c:v>0.27</c:v>
                </c:pt>
                <c:pt idx="7">
                  <c:v>0.2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Предпочитаю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layout>
                <c:manualLayout>
                  <c:x val="-2.8437675910666205E-2"/>
                  <c:y val="-3.1246094238220224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48943010030722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Информация на официальных сайтах МО</c:v>
                </c:pt>
                <c:pt idx="5">
                  <c:v>Официальная информация на сайте ФАС</c:v>
                </c:pt>
                <c:pt idx="6">
                  <c:v>Официальный портал об инвестиционной деятельности</c:v>
                </c:pt>
                <c:pt idx="7">
                  <c:v>Официальный сайт уполномоченного органа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0.433</c:v>
                </c:pt>
                <c:pt idx="1">
                  <c:v>0.26700000000000002</c:v>
                </c:pt>
                <c:pt idx="2">
                  <c:v>0.46700000000000003</c:v>
                </c:pt>
                <c:pt idx="3">
                  <c:v>0.5</c:v>
                </c:pt>
                <c:pt idx="4">
                  <c:v>0.5</c:v>
                </c:pt>
                <c:pt idx="5">
                  <c:v>0.4</c:v>
                </c:pt>
                <c:pt idx="6">
                  <c:v>0.46700000000000003</c:v>
                </c:pt>
                <c:pt idx="7">
                  <c:v>0.56699999999999995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Доверяю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txPr>
              <a:bodyPr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Специальные блоги, порталы и прочие</c:v>
                </c:pt>
                <c:pt idx="1">
                  <c:v>Радио</c:v>
                </c:pt>
                <c:pt idx="2">
                  <c:v>Печатные средства массовой информации</c:v>
                </c:pt>
                <c:pt idx="3">
                  <c:v>Телевидение</c:v>
                </c:pt>
                <c:pt idx="4">
                  <c:v>Информация на официальных сайтах МО</c:v>
                </c:pt>
                <c:pt idx="5">
                  <c:v>Официальная информация на сайте ФАС</c:v>
                </c:pt>
                <c:pt idx="6">
                  <c:v>Официальный портал об инвестиционной деятельности</c:v>
                </c:pt>
                <c:pt idx="7">
                  <c:v>Официальный сайт уполномоченного органа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6.7000000000000004E-2</c:v>
                </c:pt>
                <c:pt idx="1">
                  <c:v>3.3000000000000002E-2</c:v>
                </c:pt>
                <c:pt idx="2">
                  <c:v>3.3000000000000002E-2</c:v>
                </c:pt>
                <c:pt idx="3">
                  <c:v>6.7000000000000004E-2</c:v>
                </c:pt>
                <c:pt idx="4">
                  <c:v>0.1</c:v>
                </c:pt>
                <c:pt idx="5">
                  <c:v>0.16700000000000001</c:v>
                </c:pt>
                <c:pt idx="6">
                  <c:v>0.26700000000000002</c:v>
                </c:pt>
                <c:pt idx="7">
                  <c:v>0.23300000000000001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32017920"/>
        <c:axId val="232019456"/>
      </c:barChart>
      <c:catAx>
        <c:axId val="232017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32019456"/>
        <c:crosses val="autoZero"/>
        <c:auto val="1"/>
        <c:lblAlgn val="ctr"/>
        <c:lblOffset val="100"/>
        <c:noMultiLvlLbl val="0"/>
      </c:catAx>
      <c:valAx>
        <c:axId val="2320194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201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Скорее не удовлетворительно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Информация о мониторингах и ежегодном докладе</c:v>
                </c:pt>
                <c:pt idx="1">
                  <c:v>Информация о проведенных обучающих мероприятиях</c:v>
                </c:pt>
                <c:pt idx="2">
                  <c:v>Обеспечение доступности "дорожной карты"</c:v>
                </c:pt>
                <c:pt idx="3">
                  <c:v>Возможность прохождения электронных анкет</c:v>
                </c:pt>
                <c:pt idx="4">
                  <c:v>Доступность информации о перечне товарных рынков</c:v>
                </c:pt>
                <c:pt idx="5">
                  <c:v>Доступность информации о нормативной базе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0.13300000000000001</c:v>
                </c:pt>
                <c:pt idx="1">
                  <c:v>0.1</c:v>
                </c:pt>
                <c:pt idx="2">
                  <c:v>6.7000000000000004E-2</c:v>
                </c:pt>
                <c:pt idx="3">
                  <c:v>0.13300000000000001</c:v>
                </c:pt>
                <c:pt idx="4">
                  <c:v>6.7000000000000004E-2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Информация о мониторингах и ежегодном докладе</c:v>
                </c:pt>
                <c:pt idx="1">
                  <c:v>Информация о проведенных обучающих мероприятиях</c:v>
                </c:pt>
                <c:pt idx="2">
                  <c:v>Обеспечение доступности "дорожной карты"</c:v>
                </c:pt>
                <c:pt idx="3">
                  <c:v>Возможность прохождения электронных анкет</c:v>
                </c:pt>
                <c:pt idx="4">
                  <c:v>Доступность информации о перечне товарных рынков</c:v>
                </c:pt>
                <c:pt idx="5">
                  <c:v>Доступность информации о нормативной базе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0.26700000000000002</c:v>
                </c:pt>
                <c:pt idx="1">
                  <c:v>0.3</c:v>
                </c:pt>
                <c:pt idx="2">
                  <c:v>0.33300000000000002</c:v>
                </c:pt>
                <c:pt idx="3">
                  <c:v>0.23300000000000001</c:v>
                </c:pt>
                <c:pt idx="4">
                  <c:v>0.33300000000000002</c:v>
                </c:pt>
                <c:pt idx="5">
                  <c:v>0.33300000000000002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Информация о мониторингах и ежегодном докладе</c:v>
                </c:pt>
                <c:pt idx="1">
                  <c:v>Информация о проведенных обучающих мероприятиях</c:v>
                </c:pt>
                <c:pt idx="2">
                  <c:v>Обеспечение доступности "дорожной карты"</c:v>
                </c:pt>
                <c:pt idx="3">
                  <c:v>Возможность прохождения электронных анкет</c:v>
                </c:pt>
                <c:pt idx="4">
                  <c:v>Доступность информации о перечне товарных рынков</c:v>
                </c:pt>
                <c:pt idx="5">
                  <c:v>Доступность информации о нормативной базе</c:v>
                </c:pt>
              </c:strCache>
            </c:strRef>
          </c:cat>
          <c:val>
            <c:numRef>
              <c:f>Лист1!$D$2:$D$7</c:f>
              <c:numCache>
                <c:formatCode>0.0%</c:formatCode>
                <c:ptCount val="6"/>
                <c:pt idx="0">
                  <c:v>0.6</c:v>
                </c:pt>
                <c:pt idx="1">
                  <c:v>0.6</c:v>
                </c:pt>
                <c:pt idx="2">
                  <c:v>0.6</c:v>
                </c:pt>
                <c:pt idx="3">
                  <c:v>0.63300000000000001</c:v>
                </c:pt>
                <c:pt idx="4">
                  <c:v>0.6</c:v>
                </c:pt>
                <c:pt idx="5">
                  <c:v>0.56699999999999995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231543168"/>
        <c:axId val="231544704"/>
        <c:axId val="0"/>
      </c:bar3DChart>
      <c:catAx>
        <c:axId val="23154316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700">
                <a:solidFill>
                  <a:schemeClr val="tx1">
                    <a:lumMod val="85000"/>
                    <a:lumOff val="15000"/>
                  </a:schemeClr>
                </a:solidFill>
              </a:defRPr>
            </a:pPr>
            <a:endParaRPr lang="ru-RU"/>
          </a:p>
        </c:txPr>
        <c:crossAx val="231544704"/>
        <c:crosses val="autoZero"/>
        <c:auto val="1"/>
        <c:lblAlgn val="ctr"/>
        <c:lblOffset val="100"/>
        <c:noMultiLvlLbl val="0"/>
      </c:catAx>
      <c:valAx>
        <c:axId val="23154470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2315431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05"/>
          <c:y val="5.3341902313624678E-2"/>
          <c:w val="0.9"/>
          <c:h val="8.3025313984512267E-2"/>
        </c:manualLayout>
      </c:layout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Почтовая связь</c:v>
                </c:pt>
                <c:pt idx="1">
                  <c:v>Телефонная связь</c:v>
                </c:pt>
                <c:pt idx="2">
                  <c:v>Теплоснабжение</c:v>
                </c:pt>
                <c:pt idx="3">
                  <c:v>Электроснабжение</c:v>
                </c:pt>
                <c:pt idx="4">
                  <c:v>Газоснабжение</c:v>
                </c:pt>
                <c:pt idx="5">
                  <c:v>Водоснабжение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0.16</c:v>
                </c:pt>
                <c:pt idx="1">
                  <c:v>0.28000000000000003</c:v>
                </c:pt>
                <c:pt idx="2">
                  <c:v>0.2</c:v>
                </c:pt>
                <c:pt idx="3">
                  <c:v>0.14000000000000001</c:v>
                </c:pt>
                <c:pt idx="4">
                  <c:v>0.12</c:v>
                </c:pt>
                <c:pt idx="5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Почтовая связь</c:v>
                </c:pt>
                <c:pt idx="1">
                  <c:v>Телефонная связь</c:v>
                </c:pt>
                <c:pt idx="2">
                  <c:v>Теплоснабжение</c:v>
                </c:pt>
                <c:pt idx="3">
                  <c:v>Электроснабжение</c:v>
                </c:pt>
                <c:pt idx="4">
                  <c:v>Газоснабжение</c:v>
                </c:pt>
                <c:pt idx="5">
                  <c:v>Водоснабжение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</c:v>
                </c:pt>
                <c:pt idx="1">
                  <c:v>0.22</c:v>
                </c:pt>
                <c:pt idx="2">
                  <c:v>0.32</c:v>
                </c:pt>
                <c:pt idx="3">
                  <c:v>0.16</c:v>
                </c:pt>
                <c:pt idx="4">
                  <c:v>0.14000000000000001</c:v>
                </c:pt>
                <c:pt idx="5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удовлетворен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Почтовая связь</c:v>
                </c:pt>
                <c:pt idx="1">
                  <c:v>Телефонная связь</c:v>
                </c:pt>
                <c:pt idx="2">
                  <c:v>Теплоснабжение</c:v>
                </c:pt>
                <c:pt idx="3">
                  <c:v>Электроснабжение</c:v>
                </c:pt>
                <c:pt idx="4">
                  <c:v>Газоснабжение</c:v>
                </c:pt>
                <c:pt idx="5">
                  <c:v>Водоснабжение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0.22</c:v>
                </c:pt>
                <c:pt idx="1">
                  <c:v>0.18</c:v>
                </c:pt>
                <c:pt idx="2">
                  <c:v>0.2</c:v>
                </c:pt>
                <c:pt idx="3">
                  <c:v>0.26</c:v>
                </c:pt>
                <c:pt idx="4">
                  <c:v>0.26</c:v>
                </c:pt>
                <c:pt idx="5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Почтовая связь</c:v>
                </c:pt>
                <c:pt idx="1">
                  <c:v>Телефонная связь</c:v>
                </c:pt>
                <c:pt idx="2">
                  <c:v>Теплоснабжение</c:v>
                </c:pt>
                <c:pt idx="3">
                  <c:v>Электроснабжение</c:v>
                </c:pt>
                <c:pt idx="4">
                  <c:v>Газоснабжение</c:v>
                </c:pt>
                <c:pt idx="5">
                  <c:v>Водоснабжение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0.32</c:v>
                </c:pt>
                <c:pt idx="1">
                  <c:v>0.32</c:v>
                </c:pt>
                <c:pt idx="2">
                  <c:v>0.28000000000000003</c:v>
                </c:pt>
                <c:pt idx="3">
                  <c:v>0.44</c:v>
                </c:pt>
                <c:pt idx="4">
                  <c:v>0.48</c:v>
                </c:pt>
                <c:pt idx="5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31804928"/>
        <c:axId val="231806464"/>
      </c:barChart>
      <c:catAx>
        <c:axId val="231804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231806464"/>
        <c:crosses val="autoZero"/>
        <c:auto val="1"/>
        <c:lblAlgn val="ctr"/>
        <c:lblOffset val="100"/>
        <c:noMultiLvlLbl val="0"/>
      </c:catAx>
      <c:valAx>
        <c:axId val="23180646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318049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32319288779711E-3"/>
          <c:y val="1.449818772653417E-3"/>
          <c:w val="0.69218435057496275"/>
          <c:h val="0.995394601410117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 раз в год и реже</c:v>
                </c:pt>
                <c:pt idx="1">
                  <c:v>Не реже, чем раз в три месяца</c:v>
                </c:pt>
                <c:pt idx="2">
                  <c:v>Не реже, чем раз в месяц</c:v>
                </c:pt>
                <c:pt idx="3">
                  <c:v>Не реже, чем раз в неделю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</c:v>
                </c:pt>
                <c:pt idx="1">
                  <c:v>0.2</c:v>
                </c:pt>
                <c:pt idx="2">
                  <c:v>0.08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609473691100332"/>
          <c:y val="5.5248618784530384E-2"/>
          <c:w val="0.37133151373534667"/>
          <c:h val="0.834016328069488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сталкивался 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0.56000000000000005</c:v>
                </c:pt>
                <c:pt idx="1">
                  <c:v>0.52</c:v>
                </c:pt>
                <c:pt idx="2">
                  <c:v>0.57999999999999996</c:v>
                </c:pt>
                <c:pt idx="3">
                  <c:v>0.54</c:v>
                </c:pt>
                <c:pt idx="4">
                  <c:v>0.56000000000000005</c:v>
                </c:pt>
                <c:pt idx="5">
                  <c:v>0.57999999999999996</c:v>
                </c:pt>
                <c:pt idx="6">
                  <c:v>0.57999999999999996</c:v>
                </c:pt>
                <c:pt idx="7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0.26</c:v>
                </c:pt>
                <c:pt idx="1">
                  <c:v>0.28000000000000003</c:v>
                </c:pt>
                <c:pt idx="2">
                  <c:v>0.3</c:v>
                </c:pt>
                <c:pt idx="3">
                  <c:v>0.3</c:v>
                </c:pt>
                <c:pt idx="4">
                  <c:v>0.28000000000000003</c:v>
                </c:pt>
                <c:pt idx="5">
                  <c:v>0.26</c:v>
                </c:pt>
                <c:pt idx="6">
                  <c:v>0.36</c:v>
                </c:pt>
                <c:pt idx="7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0.08</c:v>
                </c:pt>
                <c:pt idx="1">
                  <c:v>0.2</c:v>
                </c:pt>
                <c:pt idx="2">
                  <c:v>0.12</c:v>
                </c:pt>
                <c:pt idx="3">
                  <c:v>0.16</c:v>
                </c:pt>
                <c:pt idx="4">
                  <c:v>0.16</c:v>
                </c:pt>
                <c:pt idx="5">
                  <c:v>0.16</c:v>
                </c:pt>
                <c:pt idx="6">
                  <c:v>0.06</c:v>
                </c:pt>
                <c:pt idx="7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599296"/>
        <c:axId val="230609280"/>
      </c:barChart>
      <c:catAx>
        <c:axId val="2305992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230609280"/>
        <c:crosses val="autoZero"/>
        <c:auto val="1"/>
        <c:lblAlgn val="ctr"/>
        <c:lblOffset val="100"/>
        <c:noMultiLvlLbl val="0"/>
      </c:catAx>
      <c:valAx>
        <c:axId val="23060928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3059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53215386730027"/>
          <c:y val="0.37511782021722423"/>
          <c:w val="0.18746784613269973"/>
          <c:h val="0.26670963695909694"/>
        </c:manualLayout>
      </c:layout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609473691100332"/>
          <c:y val="5.5248618784530384E-2"/>
          <c:w val="0.37133151373534667"/>
          <c:h val="0.834016328069488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сталкивался 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0.36</c:v>
                </c:pt>
                <c:pt idx="1">
                  <c:v>0.34</c:v>
                </c:pt>
                <c:pt idx="2">
                  <c:v>0.4</c:v>
                </c:pt>
                <c:pt idx="3">
                  <c:v>0.34</c:v>
                </c:pt>
                <c:pt idx="4">
                  <c:v>0.36</c:v>
                </c:pt>
                <c:pt idx="5">
                  <c:v>0.32</c:v>
                </c:pt>
                <c:pt idx="6">
                  <c:v>0.32</c:v>
                </c:pt>
                <c:pt idx="7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доверяю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0.57999999999999996</c:v>
                </c:pt>
                <c:pt idx="1">
                  <c:v>0.48</c:v>
                </c:pt>
                <c:pt idx="2">
                  <c:v>0.54</c:v>
                </c:pt>
                <c:pt idx="3">
                  <c:v>0.54</c:v>
                </c:pt>
                <c:pt idx="4">
                  <c:v>0.5</c:v>
                </c:pt>
                <c:pt idx="5">
                  <c:v>0.54</c:v>
                </c:pt>
                <c:pt idx="6">
                  <c:v>0.66</c:v>
                </c:pt>
                <c:pt idx="7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Доверяю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Брокеры</c:v>
                </c:pt>
                <c:pt idx="1">
                  <c:v>Негосударственные пенсионные фонды</c:v>
                </c:pt>
                <c:pt idx="2">
                  <c:v>С/х кредитные потребительские кооперативы</c:v>
                </c:pt>
                <c:pt idx="3">
                  <c:v>Субъекты страхового дела</c:v>
                </c:pt>
                <c:pt idx="4">
                  <c:v>Ломбарды</c:v>
                </c:pt>
                <c:pt idx="5">
                  <c:v>Кредитные потребительские кооперативы</c:v>
                </c:pt>
                <c:pt idx="6">
                  <c:v>Микрофинансовые организации</c:v>
                </c:pt>
                <c:pt idx="7">
                  <c:v>Банки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0.06</c:v>
                </c:pt>
                <c:pt idx="1">
                  <c:v>0.18</c:v>
                </c:pt>
                <c:pt idx="2">
                  <c:v>0.06</c:v>
                </c:pt>
                <c:pt idx="3">
                  <c:v>0.12</c:v>
                </c:pt>
                <c:pt idx="4">
                  <c:v>0.14000000000000001</c:v>
                </c:pt>
                <c:pt idx="5">
                  <c:v>0.14000000000000001</c:v>
                </c:pt>
                <c:pt idx="6">
                  <c:v>0.02</c:v>
                </c:pt>
                <c:pt idx="7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585856"/>
        <c:axId val="230587392"/>
      </c:barChart>
      <c:catAx>
        <c:axId val="23058585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230587392"/>
        <c:crosses val="autoZero"/>
        <c:auto val="1"/>
        <c:lblAlgn val="ctr"/>
        <c:lblOffset val="100"/>
        <c:noMultiLvlLbl val="0"/>
      </c:catAx>
      <c:valAx>
        <c:axId val="23058739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30585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53215386730027"/>
          <c:y val="0.37511782021722423"/>
          <c:w val="0.18746784613269973"/>
          <c:h val="0.26670963695909694"/>
        </c:manualLayout>
      </c:layout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Нет барьеров</c:v>
                </c:pt>
                <c:pt idx="1">
                  <c:v>Низкая степень доверия</c:v>
                </c:pt>
                <c:pt idx="2">
                  <c:v>Недостаточная финансовая грамотность</c:v>
                </c:pt>
                <c:pt idx="3">
                  <c:v>Сомнения в конфиденциальности операций</c:v>
                </c:pt>
                <c:pt idx="4">
                  <c:v>Дополнительные расходы на электронные расчеты</c:v>
                </c:pt>
                <c:pt idx="5">
                  <c:v>Привычка пользоваться наличными деньгами</c:v>
                </c:pt>
                <c:pt idx="6">
                  <c:v>Недостаточно развитая инфраструктура</c:v>
                </c:pt>
                <c:pt idx="7">
                  <c:v>Восприятие операции как более опасных</c:v>
                </c:pt>
                <c:pt idx="8">
                  <c:v>Восприятие операций как сложных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0.26</c:v>
                </c:pt>
                <c:pt idx="1">
                  <c:v>0.26</c:v>
                </c:pt>
                <c:pt idx="2">
                  <c:v>0.18</c:v>
                </c:pt>
                <c:pt idx="3">
                  <c:v>0.1</c:v>
                </c:pt>
                <c:pt idx="4">
                  <c:v>0.08</c:v>
                </c:pt>
                <c:pt idx="5">
                  <c:v>0.04</c:v>
                </c:pt>
                <c:pt idx="6">
                  <c:v>0.04</c:v>
                </c:pt>
                <c:pt idx="7">
                  <c:v>0.02</c:v>
                </c:pt>
                <c:pt idx="8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427587929753539"/>
          <c:y val="3.5206456151743908E-3"/>
          <c:w val="0.33336318127106795"/>
          <c:h val="0.9964793543848256"/>
        </c:manualLayout>
      </c:layout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знаний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m/d/yyyy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Плохие знания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m/d/yyyy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Удовлетворительные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m/d/yyyy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Хорошие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m/d/yyyy</c:formatCode>
                <c:ptCount val="1"/>
              </c:numCache>
            </c:numRef>
          </c:cat>
          <c:val>
            <c:numRef>
              <c:f>Лист1!$E$2</c:f>
              <c:numCache>
                <c:formatCode>0%</c:formatCode>
                <c:ptCount val="1"/>
                <c:pt idx="0">
                  <c:v>0.24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Отличные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m/d/yyyy</c:formatCode>
                <c:ptCount val="1"/>
              </c:numCache>
            </c:numRef>
          </c:cat>
          <c:val>
            <c:numRef>
              <c:f>Лист1!$F$2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31987456"/>
        <c:axId val="231993344"/>
      </c:barChart>
      <c:catAx>
        <c:axId val="231987456"/>
        <c:scaling>
          <c:orientation val="minMax"/>
        </c:scaling>
        <c:delete val="0"/>
        <c:axPos val="l"/>
        <c:numFmt formatCode="m/d/yyyy" sourceLinked="1"/>
        <c:majorTickMark val="none"/>
        <c:minorTickMark val="none"/>
        <c:tickLblPos val="nextTo"/>
        <c:crossAx val="231993344"/>
        <c:crosses val="autoZero"/>
        <c:auto val="1"/>
        <c:lblAlgn val="ctr"/>
        <c:lblOffset val="100"/>
        <c:noMultiLvlLbl val="0"/>
      </c:catAx>
      <c:valAx>
        <c:axId val="23199334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2319874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1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0.03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0.26700000000000002</c:v>
                </c:pt>
                <c:pt idx="2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1-5 лет</c:v>
                </c:pt>
                <c:pt idx="2">
                  <c:v>более 5 лет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%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30459264"/>
        <c:axId val="230460800"/>
        <c:axId val="0"/>
      </c:bar3DChart>
      <c:catAx>
        <c:axId val="230459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460800"/>
        <c:crosses val="autoZero"/>
        <c:auto val="1"/>
        <c:lblAlgn val="ctr"/>
        <c:lblOffset val="100"/>
        <c:noMultiLvlLbl val="0"/>
      </c:catAx>
      <c:valAx>
        <c:axId val="230460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459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2.3902651021295088E-2"/>
          <c:y val="0"/>
          <c:w val="0.95219469795740985"/>
          <c:h val="0.7733782592869321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"слабая" конкуренция</c:v>
                </c:pt>
                <c:pt idx="1">
                  <c:v>"умеренная" конкуренция</c:v>
                </c:pt>
                <c:pt idx="2">
                  <c:v>"высокая" конкуренция</c:v>
                </c:pt>
                <c:pt idx="3">
                  <c:v>нет конкуренции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0.33400000000000002</c:v>
                </c:pt>
                <c:pt idx="1">
                  <c:v>0.4</c:v>
                </c:pt>
                <c:pt idx="2">
                  <c:v>0.13300000000000001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231317504"/>
        <c:axId val="231319040"/>
        <c:axId val="0"/>
      </c:bar3DChart>
      <c:catAx>
        <c:axId val="231317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231319040"/>
        <c:crosses val="autoZero"/>
        <c:auto val="1"/>
        <c:lblAlgn val="ctr"/>
        <c:lblOffset val="100"/>
        <c:noMultiLvlLbl val="0"/>
      </c:catAx>
      <c:valAx>
        <c:axId val="2313190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313175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244167395742199E-2"/>
          <c:y val="6.1004651646266984E-2"/>
          <c:w val="0.91306722076407121"/>
          <c:h val="0.7816829084483251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Высокая конккуренция        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 formatCode="0.00%">
                  <c:v>0.66700000000000004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высокая конкуренция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 formatCode="0.00%">
                  <c:v>0.33700000000000002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1442688"/>
        <c:axId val="231456768"/>
      </c:barChart>
      <c:catAx>
        <c:axId val="231442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56768"/>
        <c:crosses val="autoZero"/>
        <c:auto val="1"/>
        <c:lblAlgn val="ctr"/>
        <c:lblOffset val="100"/>
        <c:noMultiLvlLbl val="0"/>
      </c:catAx>
      <c:valAx>
        <c:axId val="231456768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44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l"/>
      <c:legendEntry>
        <c:idx val="2"/>
        <c:delete val="1"/>
      </c:legendEntry>
      <c:layout>
        <c:manualLayout>
          <c:xMode val="edge"/>
          <c:yMode val="edge"/>
          <c:x val="1.3888888888888888E-2"/>
          <c:y val="0.30940888369815017"/>
          <c:w val="0.27911235053951589"/>
          <c:h val="0.23809690455359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1.3888888888888888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Затрудняюсь ответить</c:v>
                </c:pt>
                <c:pt idx="1">
                  <c:v>Органы власти не предпринимают каких-либо действий, но их участие необходимо</c:v>
                </c:pt>
                <c:pt idx="2">
                  <c:v>В чем-то органы власти помогают, в чем-то мешают</c:v>
                </c:pt>
                <c:pt idx="3">
                  <c:v>Органы власти  ничего не предпринимают, что и требуется</c:v>
                </c:pt>
                <c:pt idx="4">
                  <c:v>Органы власти помогают бизнесу своими действиями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0.16600000000000001</c:v>
                </c:pt>
                <c:pt idx="1">
                  <c:v>3.3000000000000002E-2</c:v>
                </c:pt>
                <c:pt idx="2">
                  <c:v>0.16700000000000001</c:v>
                </c:pt>
                <c:pt idx="3">
                  <c:v>6.7000000000000004E-2</c:v>
                </c:pt>
                <c:pt idx="4">
                  <c:v>0.56699999999999995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Затрудняюсь ответить</c:v>
                </c:pt>
                <c:pt idx="1">
                  <c:v>Органы власти не предпринимают каких-либо действий, но их участие необходимо</c:v>
                </c:pt>
                <c:pt idx="2">
                  <c:v>В чем-то органы власти помогают, в чем-то мешают</c:v>
                </c:pt>
                <c:pt idx="3">
                  <c:v>Органы власти  ничего не предпринимают, что и требуется</c:v>
                </c:pt>
                <c:pt idx="4">
                  <c:v>Органы власти помогают бизнесу своими действиями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Затрудняюсь ответить</c:v>
                </c:pt>
                <c:pt idx="1">
                  <c:v>Органы власти не предпринимают каких-либо действий, но их участие необходимо</c:v>
                </c:pt>
                <c:pt idx="2">
                  <c:v>В чем-то органы власти помогают, в чем-то мешают</c:v>
                </c:pt>
                <c:pt idx="3">
                  <c:v>Органы власти  ничего не предпринимают, что и требуется</c:v>
                </c:pt>
                <c:pt idx="4">
                  <c:v>Органы власти помогают бизнесу своими действиями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18373120"/>
        <c:axId val="218379008"/>
      </c:barChart>
      <c:catAx>
        <c:axId val="21837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8379008"/>
        <c:crosses val="autoZero"/>
        <c:auto val="1"/>
        <c:lblAlgn val="ctr"/>
        <c:lblOffset val="100"/>
        <c:noMultiLvlLbl val="0"/>
      </c:catAx>
      <c:valAx>
        <c:axId val="21837900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18373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респондентов по полу и возрасту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tx2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gradFill flip="none" rotWithShape="1">
                <a:gsLst>
                  <a:gs pos="0">
                    <a:schemeClr val="bg2">
                      <a:lumMod val="75000"/>
                      <a:tint val="66000"/>
                      <a:satMod val="160000"/>
                    </a:schemeClr>
                  </a:gs>
                  <a:gs pos="50000">
                    <a:schemeClr val="bg2">
                      <a:lumMod val="75000"/>
                      <a:tint val="44500"/>
                      <a:satMod val="160000"/>
                    </a:schemeClr>
                  </a:gs>
                  <a:gs pos="100000">
                    <a:schemeClr val="bg2">
                      <a:lumMod val="75000"/>
                      <a:tint val="23500"/>
                      <a:satMod val="160000"/>
                    </a:schemeClr>
                  </a:gs>
                </a:gsLst>
                <a:lin ang="10800000" scaled="1"/>
                <a:tileRect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от 18 до 24 лет</c:v>
                </c:pt>
                <c:pt idx="1">
                  <c:v>от 25 до 34 лет</c:v>
                </c:pt>
                <c:pt idx="2">
                  <c:v>от 35 до 44 лет</c:v>
                </c:pt>
                <c:pt idx="3">
                  <c:v>от 45 до 54 лет</c:v>
                </c:pt>
                <c:pt idx="4">
                  <c:v>от 55 до 64 лет</c:v>
                </c:pt>
                <c:pt idx="5">
                  <c:v>мужчины</c:v>
                </c:pt>
                <c:pt idx="6">
                  <c:v>женщины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16</c:v>
                </c:pt>
                <c:pt idx="2">
                  <c:v>14</c:v>
                </c:pt>
                <c:pt idx="3">
                  <c:v>8</c:v>
                </c:pt>
                <c:pt idx="4">
                  <c:v>6</c:v>
                </c:pt>
                <c:pt idx="5">
                  <c:v>10</c:v>
                </c:pt>
                <c:pt idx="6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74"/>
        <c:splitType val="pos"/>
        <c:splitPos val="2"/>
        <c:secondPieSize val="75"/>
        <c:serLines>
          <c:spPr>
            <a:ln w="9525" cap="flat" cmpd="sng" algn="ctr">
              <a:solidFill>
                <a:schemeClr val="accent1"/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79647856517935"/>
          <c:y val="1.1256173623458352E-2"/>
          <c:w val="0.42611074657334502"/>
          <c:h val="0.8797125090546477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17"/>
          <c:dPt>
            <c:idx val="0"/>
            <c:bubble3D val="0"/>
            <c:explosion val="4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explosion val="1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explosion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explosion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spc="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Услуги ЖКХ</c:v>
                </c:pt>
                <c:pt idx="1">
                  <c:v>Медицинские услуги</c:v>
                </c:pt>
                <c:pt idx="2">
                  <c:v>Перевозка пассажиров</c:v>
                </c:pt>
                <c:pt idx="3">
                  <c:v>Электроэнергия</c:v>
                </c:pt>
                <c:pt idx="4">
                  <c:v>Нефтепродукты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0.44</c:v>
                </c:pt>
                <c:pt idx="1">
                  <c:v>0.12</c:v>
                </c:pt>
                <c:pt idx="2">
                  <c:v>0.08</c:v>
                </c:pt>
                <c:pt idx="3">
                  <c:v>0.06</c:v>
                </c:pt>
                <c:pt idx="4">
                  <c:v>0.06</c:v>
                </c:pt>
                <c:pt idx="5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Услуги ЖКХ</c:v>
                </c:pt>
                <c:pt idx="1">
                  <c:v>Медицинские услуги</c:v>
                </c:pt>
                <c:pt idx="2">
                  <c:v>Перевозка пассажиров</c:v>
                </c:pt>
                <c:pt idx="3">
                  <c:v>Электроэнергия</c:v>
                </c:pt>
                <c:pt idx="4">
                  <c:v>Нефтепродукты</c:v>
                </c:pt>
                <c:pt idx="5">
                  <c:v>Прочие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Услуги ЖКХ</c:v>
                </c:pt>
                <c:pt idx="1">
                  <c:v>Медицинские услуги</c:v>
                </c:pt>
                <c:pt idx="2">
                  <c:v>Перевозка пассажиров</c:v>
                </c:pt>
                <c:pt idx="3">
                  <c:v>Электроэнергия</c:v>
                </c:pt>
                <c:pt idx="4">
                  <c:v>Нефтепродукты</c:v>
                </c:pt>
                <c:pt idx="5">
                  <c:v>Прочие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Обращался, безрезультатно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Органы судебной власти</c:v>
                </c:pt>
                <c:pt idx="1">
                  <c:v>Прокуратура</c:v>
                </c:pt>
                <c:pt idx="2">
                  <c:v>Органы власти региона</c:v>
                </c:pt>
                <c:pt idx="3">
                  <c:v>Органы местного самоуправления</c:v>
                </c:pt>
                <c:pt idx="4">
                  <c:v>Федеральная антимонопольная служба</c:v>
                </c:pt>
                <c:pt idx="5">
                  <c:v>Росстандарт</c:v>
                </c:pt>
                <c:pt idx="6">
                  <c:v>Роспотребнадзор</c:v>
                </c:pt>
                <c:pt idx="7">
                  <c:v>Организация по защите прав потребителей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Обращался, помогли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Органы судебной власти</c:v>
                </c:pt>
                <c:pt idx="1">
                  <c:v>Прокуратура</c:v>
                </c:pt>
                <c:pt idx="2">
                  <c:v>Органы власти региона</c:v>
                </c:pt>
                <c:pt idx="3">
                  <c:v>Органы местного самоуправления</c:v>
                </c:pt>
                <c:pt idx="4">
                  <c:v>Федеральная антимонопольная служба</c:v>
                </c:pt>
                <c:pt idx="5">
                  <c:v>Росстандарт</c:v>
                </c:pt>
                <c:pt idx="6">
                  <c:v>Роспотребнадзор</c:v>
                </c:pt>
                <c:pt idx="7">
                  <c:v>Организация по защите прав потребителей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1766656"/>
        <c:axId val="231776640"/>
      </c:barChart>
      <c:catAx>
        <c:axId val="231766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ru-RU"/>
          </a:p>
        </c:txPr>
        <c:crossAx val="231776640"/>
        <c:crosses val="autoZero"/>
        <c:auto val="1"/>
        <c:lblAlgn val="ctr"/>
        <c:lblOffset val="100"/>
        <c:noMultiLvlLbl val="0"/>
      </c:catAx>
      <c:valAx>
        <c:axId val="231776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1766656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882562872412018E-2"/>
          <c:y val="0.11797749010187286"/>
          <c:w val="0.89887360465483979"/>
          <c:h val="0.571060278482138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</c:v>
                </c:pt>
                <c:pt idx="1">
                  <c:v>0.67</c:v>
                </c:pt>
                <c:pt idx="2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0.18</c:v>
                </c:pt>
                <c:pt idx="1">
                  <c:v>0.21</c:v>
                </c:pt>
                <c:pt idx="2">
                  <c:v>0.21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Затруднились ответить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0.06</c:v>
                </c:pt>
                <c:pt idx="1">
                  <c:v>0.06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31360000"/>
        <c:axId val="231361536"/>
      </c:barChart>
      <c:catAx>
        <c:axId val="231360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1361536"/>
        <c:crosses val="autoZero"/>
        <c:auto val="1"/>
        <c:lblAlgn val="ctr"/>
        <c:lblOffset val="100"/>
        <c:noMultiLvlLbl val="0"/>
      </c:catAx>
      <c:valAx>
        <c:axId val="23136153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31360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2795579737082226"/>
          <c:w val="0.98942577960887423"/>
          <c:h val="0.13429600960896837"/>
        </c:manualLayout>
      </c:layout>
      <c:overlay val="0"/>
      <c:txPr>
        <a:bodyPr/>
        <a:lstStyle/>
        <a:p>
          <a:pPr>
            <a:defRPr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1F4B-00E7-42DF-B200-F85C44ED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25</Pages>
  <Words>6430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88</cp:revision>
  <cp:lastPrinted>2022-02-14T12:20:00Z</cp:lastPrinted>
  <dcterms:created xsi:type="dcterms:W3CDTF">2022-02-05T21:23:00Z</dcterms:created>
  <dcterms:modified xsi:type="dcterms:W3CDTF">2022-02-14T12:20:00Z</dcterms:modified>
</cp:coreProperties>
</file>