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</w:t>
            </w:r>
            <w:proofErr w:type="gramStart"/>
            <w:r w:rsidR="00D36E2B" w:rsidRPr="00AC2119">
              <w:rPr>
                <w:b/>
              </w:rPr>
              <w:t>Фурмановского</w:t>
            </w:r>
            <w:proofErr w:type="gramEnd"/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2018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B97E07">
        <w:rPr>
          <w:b/>
        </w:rPr>
        <w:t xml:space="preserve"> ул. Некрасовская</w:t>
      </w:r>
      <w:r w:rsidR="003801CD">
        <w:rPr>
          <w:b/>
        </w:rPr>
        <w:t xml:space="preserve">, дом </w:t>
      </w:r>
      <w:r w:rsidR="00B97E07">
        <w:rPr>
          <w:b/>
        </w:rPr>
        <w:t>12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>
        <w:rPr>
          <w:b/>
          <w:color w:val="000000"/>
        </w:rPr>
        <w:t>:01</w:t>
      </w:r>
      <w:r w:rsidR="00B97E07">
        <w:rPr>
          <w:b/>
          <w:color w:val="000000"/>
        </w:rPr>
        <w:t>1727</w:t>
      </w:r>
      <w:r w:rsidR="00D36E2B">
        <w:rPr>
          <w:b/>
          <w:color w:val="000000"/>
        </w:rPr>
        <w:t>:</w:t>
      </w:r>
      <w:r w:rsidR="00B97E07">
        <w:rPr>
          <w:b/>
          <w:color w:val="000000"/>
        </w:rPr>
        <w:t>3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>индивидуально</w:t>
      </w:r>
      <w:r w:rsidR="00EA6898">
        <w:rPr>
          <w:b/>
          <w:color w:val="000000"/>
        </w:rPr>
        <w:t>е</w:t>
      </w:r>
      <w:r w:rsidR="00D36E2B">
        <w:rPr>
          <w:b/>
          <w:color w:val="000000"/>
        </w:rPr>
        <w:t xml:space="preserve"> </w:t>
      </w:r>
      <w:r w:rsidR="003801CD">
        <w:rPr>
          <w:b/>
          <w:color w:val="000000"/>
        </w:rPr>
        <w:t>жилищн</w:t>
      </w:r>
      <w:r w:rsidR="00EA6898">
        <w:rPr>
          <w:b/>
          <w:color w:val="000000"/>
        </w:rPr>
        <w:t xml:space="preserve">ое </w:t>
      </w:r>
      <w:r w:rsidR="003801CD">
        <w:rPr>
          <w:b/>
          <w:color w:val="000000"/>
        </w:rPr>
        <w:t>строительств</w:t>
      </w:r>
      <w:r w:rsidR="00EA6898">
        <w:rPr>
          <w:b/>
          <w:color w:val="000000"/>
        </w:rPr>
        <w:t>о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0817CE" w:rsidRPr="00945895">
        <w:rPr>
          <w:b/>
        </w:rPr>
        <w:t>13</w:t>
      </w:r>
      <w:r w:rsidR="00B42080" w:rsidRPr="00945895">
        <w:rPr>
          <w:b/>
        </w:rPr>
        <w:t>.</w:t>
      </w:r>
      <w:r w:rsidR="000817CE" w:rsidRPr="00945895">
        <w:rPr>
          <w:b/>
        </w:rPr>
        <w:t>08</w:t>
      </w:r>
      <w:r w:rsidR="00B42080" w:rsidRPr="00945895">
        <w:rPr>
          <w:b/>
        </w:rPr>
        <w:t>.201</w:t>
      </w:r>
      <w:r w:rsidR="000817CE" w:rsidRPr="00945895">
        <w:rPr>
          <w:b/>
        </w:rPr>
        <w:t>8</w:t>
      </w:r>
      <w:r w:rsidR="00B42080" w:rsidRPr="00945895">
        <w:rPr>
          <w:b/>
        </w:rPr>
        <w:t xml:space="preserve"> № </w:t>
      </w:r>
      <w:r w:rsidR="000817CE" w:rsidRPr="00945895">
        <w:rPr>
          <w:b/>
        </w:rPr>
        <w:t>665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D36E2B">
        <w:rPr>
          <w:b/>
        </w:rPr>
        <w:t>8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5D4FE8" w:rsidRDefault="005D4FE8" w:rsidP="00A53524">
      <w:pPr>
        <w:pStyle w:val="a3"/>
        <w:widowControl w:val="0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0817CE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6A0121">
              <w:t xml:space="preserve">от </w:t>
            </w:r>
            <w:r w:rsidR="000817CE" w:rsidRPr="006A0121">
              <w:t>13</w:t>
            </w:r>
            <w:r w:rsidR="00B42080" w:rsidRPr="006A0121">
              <w:t>.</w:t>
            </w:r>
            <w:r w:rsidR="009C2143" w:rsidRPr="006A0121">
              <w:t>0</w:t>
            </w:r>
            <w:r w:rsidR="000817CE" w:rsidRPr="006A0121">
              <w:t>8</w:t>
            </w:r>
            <w:r w:rsidR="00B42080" w:rsidRPr="006A0121">
              <w:t>.201</w:t>
            </w:r>
            <w:r w:rsidR="00700717" w:rsidRPr="006A0121">
              <w:t>8</w:t>
            </w:r>
            <w:r w:rsidR="00B42080" w:rsidRPr="006A0121">
              <w:t xml:space="preserve"> № </w:t>
            </w:r>
            <w:r w:rsidR="000817CE" w:rsidRPr="006A0121">
              <w:t>665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BC0563" w:rsidRDefault="00EA6898" w:rsidP="00837ECD">
            <w:pPr>
              <w:widowControl w:val="0"/>
              <w:suppressAutoHyphens/>
              <w:ind w:firstLine="720"/>
              <w:jc w:val="both"/>
            </w:pPr>
            <w:r>
              <w:t>з</w:t>
            </w:r>
            <w:r w:rsidR="00837ECD" w:rsidRPr="00837ECD">
              <w:t xml:space="preserve">емельный участок общей площадью </w:t>
            </w:r>
            <w:r w:rsidR="000817CE">
              <w:t>748</w:t>
            </w:r>
            <w:r w:rsidR="00837ECD" w:rsidRPr="00837ECD">
              <w:t xml:space="preserve"> </w:t>
            </w:r>
            <w:r w:rsidR="005A1F6A">
              <w:t>кв.м.</w:t>
            </w:r>
            <w:r w:rsidR="00BC0563">
              <w:t>;</w:t>
            </w:r>
            <w:r w:rsidR="003322D6">
              <w:t xml:space="preserve"> </w:t>
            </w:r>
          </w:p>
          <w:p w:rsidR="00BC0563" w:rsidRPr="00837ECD" w:rsidRDefault="00BC0563" w:rsidP="00BC0563">
            <w:pPr>
              <w:widowControl w:val="0"/>
              <w:suppressAutoHyphens/>
              <w:ind w:firstLine="720"/>
              <w:jc w:val="both"/>
            </w:pPr>
            <w:r>
              <w:t>адрес</w:t>
            </w:r>
            <w:r w:rsidRPr="00837ECD">
              <w:t xml:space="preserve">: Ивановская область, </w:t>
            </w:r>
            <w:r>
              <w:t xml:space="preserve">г. Фурманов, ул. </w:t>
            </w:r>
            <w:r w:rsidR="00B97E07">
              <w:t>Некрасовская</w:t>
            </w:r>
            <w:r>
              <w:t xml:space="preserve">, дом </w:t>
            </w:r>
            <w:r w:rsidR="00B97E07">
              <w:t>12</w:t>
            </w:r>
          </w:p>
          <w:p w:rsidR="00BC0563" w:rsidRDefault="00BC0563" w:rsidP="00BC0563">
            <w:pPr>
              <w:widowControl w:val="0"/>
              <w:suppressAutoHyphens/>
              <w:ind w:firstLine="720"/>
              <w:jc w:val="both"/>
            </w:pPr>
            <w:r w:rsidRPr="00837ECD">
              <w:t>кадастровы</w:t>
            </w:r>
            <w:r>
              <w:t>й номер</w:t>
            </w:r>
            <w:r w:rsidR="00EB0962">
              <w:t>:</w:t>
            </w:r>
            <w:r w:rsidRPr="00837ECD">
              <w:t xml:space="preserve"> 37:</w:t>
            </w:r>
            <w:r>
              <w:t>27</w:t>
            </w:r>
            <w:r w:rsidRPr="00837ECD">
              <w:t>:</w:t>
            </w:r>
            <w:r w:rsidR="000817CE">
              <w:t>011727</w:t>
            </w:r>
            <w:r>
              <w:t>:</w:t>
            </w:r>
            <w:r w:rsidR="000817CE">
              <w:t>3</w:t>
            </w:r>
            <w:r>
              <w:t>;</w:t>
            </w:r>
          </w:p>
          <w:p w:rsidR="00BC0563" w:rsidRDefault="003322D6" w:rsidP="00837ECD">
            <w:pPr>
              <w:widowControl w:val="0"/>
              <w:suppressAutoHyphens/>
              <w:ind w:firstLine="720"/>
              <w:jc w:val="both"/>
            </w:pPr>
            <w:r>
              <w:t>категория земель</w:t>
            </w:r>
            <w:r w:rsidR="00BC0563">
              <w:t xml:space="preserve">: </w:t>
            </w:r>
            <w:r>
              <w:t>земли населенных пунктов;</w:t>
            </w:r>
            <w:r w:rsidR="00837ECD" w:rsidRPr="00837ECD">
              <w:t xml:space="preserve"> </w:t>
            </w:r>
          </w:p>
          <w:p w:rsidR="00970B84" w:rsidRDefault="00BC0563" w:rsidP="00BC0563">
            <w:pPr>
              <w:widowControl w:val="0"/>
              <w:suppressAutoHyphens/>
              <w:ind w:firstLine="720"/>
              <w:jc w:val="both"/>
            </w:pPr>
            <w:r w:rsidRPr="00F07CF7">
              <w:t>разрешенное использование (назначение) –</w:t>
            </w:r>
            <w:r w:rsidR="00EB0962">
              <w:t xml:space="preserve"> </w:t>
            </w:r>
            <w:r w:rsidRPr="00F07CF7">
              <w:t>индивидуально</w:t>
            </w:r>
            <w:r w:rsidR="00EB0962">
              <w:t>е</w:t>
            </w:r>
            <w:r w:rsidRPr="00F07CF7">
              <w:t xml:space="preserve"> жилищно</w:t>
            </w:r>
            <w:r w:rsidR="00EB0962">
              <w:t>е</w:t>
            </w:r>
            <w:r w:rsidRPr="00F07CF7">
              <w:t xml:space="preserve"> строительств</w:t>
            </w:r>
            <w:r w:rsidR="00EB0962">
              <w:t>о</w:t>
            </w:r>
            <w:r w:rsidRPr="00F07CF7">
              <w:t xml:space="preserve"> (согласно Выписке из Единого государственного реестра недвижимости об объекте недвижимости).</w:t>
            </w:r>
            <w:r w:rsidR="00E5795F" w:rsidRPr="00F07CF7">
              <w:t xml:space="preserve"> </w:t>
            </w:r>
            <w:r w:rsidR="00837ECD" w:rsidRPr="00F07CF7">
              <w:t xml:space="preserve">Разрешенное использование земельного участка определено </w:t>
            </w:r>
            <w:r w:rsidR="002F634D" w:rsidRPr="00F07CF7">
              <w:t xml:space="preserve">в </w:t>
            </w:r>
            <w:r w:rsidRPr="00F07CF7">
              <w:t>соответствии с</w:t>
            </w:r>
            <w:r w:rsidR="00B97E07" w:rsidRPr="00F07CF7">
              <w:t xml:space="preserve">о ст.51.1 Правил землепользования и застройки территории Фурмановского городского поселения, </w:t>
            </w:r>
            <w:proofErr w:type="gramStart"/>
            <w:r w:rsidR="00B97E07" w:rsidRPr="00F07CF7">
              <w:t>расположен</w:t>
            </w:r>
            <w:proofErr w:type="gramEnd"/>
            <w:r w:rsidR="00B97E07" w:rsidRPr="00F07CF7">
              <w:t xml:space="preserve"> в территориальной зоне </w:t>
            </w:r>
            <w:r w:rsidRPr="00F07CF7">
              <w:t xml:space="preserve"> Ж-</w:t>
            </w:r>
            <w:r w:rsidR="00B97E07" w:rsidRPr="00F07CF7">
              <w:t>1</w:t>
            </w:r>
            <w:r w:rsidRPr="00F07CF7">
              <w:t xml:space="preserve"> (зона застройки индивидуальными жилыми домами с приусадебными участками</w:t>
            </w:r>
            <w:r w:rsidR="00970B84">
              <w:t>)</w:t>
            </w:r>
          </w:p>
          <w:p w:rsidR="00BC0563" w:rsidRPr="00F07CF7" w:rsidRDefault="00BC0563" w:rsidP="00BC0563">
            <w:pPr>
              <w:widowControl w:val="0"/>
              <w:suppressAutoHyphens/>
              <w:ind w:firstLine="720"/>
              <w:jc w:val="both"/>
            </w:pPr>
            <w:r w:rsidRPr="00F07CF7">
              <w:t>Максимально и (или) минимально допустимые пара</w:t>
            </w:r>
            <w:r w:rsidR="00E5795F" w:rsidRPr="00F07CF7">
              <w:t>метры разрешенного строительства объекта капитального строительства:</w:t>
            </w:r>
          </w:p>
          <w:p w:rsidR="00DB3557" w:rsidRPr="00F07CF7" w:rsidRDefault="00DB3557" w:rsidP="00157F28">
            <w:pPr>
              <w:widowControl w:val="0"/>
              <w:numPr>
                <w:ilvl w:val="0"/>
                <w:numId w:val="11"/>
              </w:numPr>
              <w:suppressAutoHyphens/>
              <w:ind w:left="743" w:firstLine="0"/>
              <w:jc w:val="both"/>
            </w:pPr>
            <w:r>
              <w:t>п</w:t>
            </w:r>
            <w:r w:rsidRPr="00F07CF7">
              <w:t>роцент застройки участка не должен превышать 50%</w:t>
            </w:r>
          </w:p>
          <w:p w:rsidR="00C51028" w:rsidRPr="00F07CF7" w:rsidRDefault="00970B84" w:rsidP="00157F28">
            <w:pPr>
              <w:widowControl w:val="0"/>
              <w:numPr>
                <w:ilvl w:val="0"/>
                <w:numId w:val="11"/>
              </w:numPr>
              <w:suppressAutoHyphens/>
              <w:ind w:left="743" w:firstLine="0"/>
              <w:jc w:val="both"/>
            </w:pPr>
            <w:r>
              <w:t>р</w:t>
            </w:r>
            <w:r w:rsidR="00C51028" w:rsidRPr="00F07CF7">
              <w:t>асстояния до границы соседнего участка по санитарно-бытовым условиям должны быть не менее: от</w:t>
            </w:r>
            <w:r w:rsidR="00EC1EE4" w:rsidRPr="00F07CF7">
              <w:t xml:space="preserve"> отдельно стоящего или блокированного дома-3м; от постройки для содержания скота и </w:t>
            </w:r>
            <w:r w:rsidR="00246B87" w:rsidRPr="00F07CF7">
              <w:t>птицы - 4м; от других построек (бани, гаража и др.)-1м; от стволов высокорослых деревьев- 5м; среднерослых-2м; от кустарника-1м.</w:t>
            </w:r>
          </w:p>
          <w:p w:rsidR="00DB3557" w:rsidRDefault="00DB3557" w:rsidP="00157F28">
            <w:pPr>
              <w:widowControl w:val="0"/>
              <w:numPr>
                <w:ilvl w:val="0"/>
                <w:numId w:val="11"/>
              </w:numPr>
              <w:suppressAutoHyphens/>
              <w:ind w:left="743" w:firstLine="0"/>
              <w:jc w:val="both"/>
            </w:pPr>
            <w:r>
              <w:t>при устройстве на своем участке колодцев и отстойников следует руководствоваться требованиями СанПиН 2.1.4.1075-02;</w:t>
            </w:r>
          </w:p>
          <w:p w:rsidR="000B1FC5" w:rsidRDefault="00DB3557" w:rsidP="000B1FC5">
            <w:pPr>
              <w:widowControl w:val="0"/>
              <w:numPr>
                <w:ilvl w:val="0"/>
                <w:numId w:val="11"/>
              </w:numPr>
              <w:suppressAutoHyphens/>
              <w:ind w:left="743" w:firstLine="0"/>
              <w:jc w:val="both"/>
            </w:pPr>
            <w:r>
              <w:t xml:space="preserve">запрещается устройство индивидуальных </w:t>
            </w:r>
            <w:r w:rsidRPr="00DB3557">
              <w:t>отстойников</w:t>
            </w:r>
            <w:r>
              <w:t xml:space="preserve"> за пределами своих участков.</w:t>
            </w:r>
          </w:p>
          <w:p w:rsidR="000B1FC5" w:rsidRDefault="000B1FC5" w:rsidP="00B05844">
            <w:pPr>
              <w:widowControl w:val="0"/>
              <w:numPr>
                <w:ilvl w:val="0"/>
                <w:numId w:val="11"/>
              </w:numPr>
              <w:tabs>
                <w:tab w:val="left" w:pos="1310"/>
                <w:tab w:val="left" w:pos="2243"/>
              </w:tabs>
              <w:suppressAutoHyphens/>
              <w:ind w:left="743" w:firstLine="0"/>
              <w:jc w:val="both"/>
            </w:pPr>
            <w:r w:rsidRPr="00F07CF7">
              <w:t xml:space="preserve">Предельная высота зданий, кол-во этажей: </w:t>
            </w:r>
          </w:p>
          <w:p w:rsidR="000B1FC5" w:rsidRDefault="000B1FC5" w:rsidP="00B05844">
            <w:pPr>
              <w:widowControl w:val="0"/>
              <w:tabs>
                <w:tab w:val="left" w:pos="1310"/>
                <w:tab w:val="left" w:pos="2243"/>
              </w:tabs>
              <w:suppressAutoHyphens/>
              <w:ind w:left="1452"/>
              <w:jc w:val="both"/>
            </w:pPr>
            <w:r>
              <w:t>-</w:t>
            </w:r>
            <w:r w:rsidRPr="00F07CF7">
              <w:t>для всех основных строений кол-во надземных этаже</w:t>
            </w:r>
            <w:proofErr w:type="gramStart"/>
            <w:r w:rsidRPr="00F07CF7">
              <w:t>й-</w:t>
            </w:r>
            <w:proofErr w:type="gramEnd"/>
            <w:r w:rsidRPr="00F07CF7">
              <w:t xml:space="preserve"> не более трех (включая мансардный этаж) и высота от уровня земли: до верха плоской крыши-</w:t>
            </w:r>
            <w:r>
              <w:t xml:space="preserve"> </w:t>
            </w:r>
            <w:r w:rsidRPr="00F07CF7">
              <w:t>не более 8,6м;</w:t>
            </w:r>
            <w:r>
              <w:t xml:space="preserve"> </w:t>
            </w:r>
            <w:r w:rsidRPr="00F07CF7">
              <w:t>до конька скатной крыши- не более 10м</w:t>
            </w:r>
          </w:p>
          <w:p w:rsidR="00DB3557" w:rsidRDefault="000B1FC5" w:rsidP="00B05844">
            <w:pPr>
              <w:widowControl w:val="0"/>
              <w:tabs>
                <w:tab w:val="left" w:pos="1310"/>
                <w:tab w:val="left" w:pos="2243"/>
              </w:tabs>
              <w:suppressAutoHyphens/>
              <w:ind w:left="1452"/>
              <w:jc w:val="both"/>
            </w:pPr>
            <w:r>
              <w:t>-</w:t>
            </w:r>
            <w:r w:rsidR="00DB3557">
              <w:t xml:space="preserve">для отдельно стоящего гаража, в том числе с хозяйственным помещением на 2 этаже, высота от уровня земли: до верха плоской кровли </w:t>
            </w:r>
            <w:proofErr w:type="gramStart"/>
            <w:r w:rsidR="00DB3557">
              <w:t>-н</w:t>
            </w:r>
            <w:proofErr w:type="gramEnd"/>
            <w:r w:rsidR="00DB3557">
              <w:t>е более 4 метров, до конька скатной крыши – 6 м.</w:t>
            </w:r>
          </w:p>
          <w:p w:rsidR="00837ECD" w:rsidRPr="003F208B" w:rsidRDefault="00837ECD" w:rsidP="00837ECD">
            <w:pPr>
              <w:widowControl w:val="0"/>
              <w:suppressAutoHyphens/>
              <w:ind w:firstLine="720"/>
              <w:jc w:val="both"/>
            </w:pPr>
            <w:r w:rsidRPr="003F208B">
              <w:t>Техническая возможность подключения</w:t>
            </w:r>
            <w:r w:rsidR="005C7EAF" w:rsidRPr="003F208B">
              <w:t xml:space="preserve"> (технологического присоединения)</w:t>
            </w:r>
            <w:r w:rsidRPr="003F208B">
              <w:t xml:space="preserve"> к сетям инженерно-технического обеспечения:</w:t>
            </w:r>
          </w:p>
          <w:p w:rsidR="00837ECD" w:rsidRPr="003F208B" w:rsidRDefault="005B3CA5" w:rsidP="00FA6AE8">
            <w:pPr>
              <w:widowControl w:val="0"/>
              <w:suppressAutoHyphens/>
              <w:ind w:firstLine="720"/>
              <w:jc w:val="both"/>
            </w:pPr>
            <w:r w:rsidRPr="003F208B">
              <w:t xml:space="preserve">- </w:t>
            </w:r>
            <w:r w:rsidR="0099475F" w:rsidRPr="003F208B">
              <w:t>техническ</w:t>
            </w:r>
            <w:r w:rsidR="00FA6AE8" w:rsidRPr="003F208B">
              <w:t>ая</w:t>
            </w:r>
            <w:r w:rsidR="0099475F" w:rsidRPr="003F208B">
              <w:t xml:space="preserve"> </w:t>
            </w:r>
            <w:r w:rsidR="00FA6AE8" w:rsidRPr="003F208B">
              <w:t>возможность</w:t>
            </w:r>
            <w:r w:rsidR="0099475F" w:rsidRPr="003F208B">
              <w:t xml:space="preserve"> на присоединение к водопроводным сетям</w:t>
            </w:r>
            <w:r w:rsidR="00837ECD" w:rsidRPr="003F208B">
              <w:t xml:space="preserve"> </w:t>
            </w:r>
            <w:r w:rsidR="00FA6AE8" w:rsidRPr="003F208B">
              <w:t>ООО «Водосеть</w:t>
            </w:r>
            <w:r w:rsidR="003F208B">
              <w:t xml:space="preserve">» </w:t>
            </w:r>
            <w:r w:rsidR="00FA6AE8" w:rsidRPr="003F208B">
              <w:t>на подключение объекта к сетям  водоснабжения и водоотведения отсутствует.</w:t>
            </w:r>
          </w:p>
          <w:p w:rsidR="00B25AF3" w:rsidRDefault="00820F89" w:rsidP="00B25AF3">
            <w:pPr>
              <w:widowControl w:val="0"/>
              <w:suppressAutoHyphens/>
              <w:ind w:firstLine="720"/>
              <w:jc w:val="both"/>
            </w:pPr>
            <w:r w:rsidRPr="00820F89">
              <w:t>-</w:t>
            </w:r>
            <w:r>
              <w:t xml:space="preserve"> </w:t>
            </w:r>
            <w:r w:rsidR="00B25AF3" w:rsidRPr="00820F89">
              <w:t>имеется</w:t>
            </w:r>
            <w:r w:rsidR="00B25AF3" w:rsidRPr="00FE0E55">
              <w:t xml:space="preserve"> техническая возможность подключения к сетям газоснабжения </w:t>
            </w:r>
            <w:r w:rsidR="00B25AF3">
              <w:t>от существующего надземного газопровода низкого давления  в районе земельного участка. Максимальный расход газа для присоединяемого объекта не более 5 куб</w:t>
            </w:r>
            <w:proofErr w:type="gramStart"/>
            <w:r w:rsidR="00B25AF3">
              <w:t>.м</w:t>
            </w:r>
            <w:proofErr w:type="gramEnd"/>
            <w:r w:rsidR="00B25AF3">
              <w:t>/час.</w:t>
            </w:r>
          </w:p>
          <w:p w:rsidR="00B25AF3" w:rsidRPr="000746E4" w:rsidRDefault="00B25AF3" w:rsidP="00B25AF3">
            <w:pPr>
              <w:widowControl w:val="0"/>
              <w:suppressAutoHyphens/>
              <w:ind w:firstLine="720"/>
              <w:jc w:val="both"/>
              <w:rPr>
                <w:color w:val="548DD4"/>
              </w:rPr>
            </w:pPr>
            <w:r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      </w:r>
          </w:p>
          <w:p w:rsidR="00C629E7" w:rsidRPr="00537215" w:rsidRDefault="00C629E7" w:rsidP="00B82794">
            <w:pPr>
              <w:widowControl w:val="0"/>
              <w:suppressAutoHyphens/>
              <w:jc w:val="both"/>
            </w:pP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3F59AB" w:rsidRPr="00380617" w:rsidRDefault="00380617" w:rsidP="00FD1754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lastRenderedPageBreak/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 w:rsidR="00FD1754">
              <w:t xml:space="preserve"> и обременения отсутствуют.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3F4A1D" w:rsidRPr="00F369B9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FD1754">
              <w:t>236 068,80</w:t>
            </w:r>
            <w:r w:rsidR="00667126" w:rsidRPr="00F369B9">
              <w:t xml:space="preserve"> (</w:t>
            </w:r>
            <w:r w:rsidR="00FD1754">
              <w:t>двести тридцать</w:t>
            </w:r>
            <w:r w:rsidR="00AF7A94">
              <w:t xml:space="preserve"> шесть тысяч </w:t>
            </w:r>
            <w:r w:rsidR="00FD1754">
              <w:t>шестьдесят восемь</w:t>
            </w:r>
            <w:r w:rsidR="00667126" w:rsidRPr="00F369B9">
              <w:t>) рубл</w:t>
            </w:r>
            <w:r w:rsidR="00FD1754">
              <w:t>ей</w:t>
            </w:r>
            <w:r w:rsidR="00667126" w:rsidRPr="00F369B9">
              <w:t xml:space="preserve"> </w:t>
            </w:r>
            <w:r w:rsidR="00FD1754">
              <w:t>80</w:t>
            </w:r>
            <w:r w:rsidR="00667126" w:rsidRPr="00F369B9">
              <w:t xml:space="preserve"> копе</w:t>
            </w:r>
            <w:r w:rsidR="00FD1754">
              <w:t>ек</w:t>
            </w:r>
            <w:r w:rsidR="00667126" w:rsidRPr="00F369B9">
              <w:t xml:space="preserve"> </w:t>
            </w:r>
            <w:r w:rsidR="00DA0CA3" w:rsidRPr="00F369B9">
              <w:t>(НДС не облагается)</w:t>
            </w:r>
            <w:r w:rsidRPr="00F369B9">
              <w:t>.</w:t>
            </w:r>
          </w:p>
          <w:p w:rsidR="0074511C" w:rsidRDefault="0074511C" w:rsidP="00FD1754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AF7A94">
              <w:rPr>
                <w:color w:val="000000"/>
              </w:rPr>
              <w:t>г. Фурманов</w:t>
            </w:r>
            <w:r w:rsidR="00F369B9">
              <w:rPr>
                <w:color w:val="000000"/>
              </w:rPr>
              <w:t>,</w:t>
            </w:r>
            <w:r w:rsidR="00AF7A94">
              <w:rPr>
                <w:color w:val="000000"/>
              </w:rPr>
              <w:t xml:space="preserve"> ул. </w:t>
            </w:r>
            <w:r w:rsidR="00FD1754">
              <w:rPr>
                <w:color w:val="000000"/>
              </w:rPr>
              <w:t>Некрасовская</w:t>
            </w:r>
            <w:r w:rsidR="00AF7A94">
              <w:rPr>
                <w:color w:val="000000"/>
              </w:rPr>
              <w:t xml:space="preserve">, дом </w:t>
            </w:r>
            <w:r w:rsidR="00FD1754">
              <w:rPr>
                <w:color w:val="000000"/>
              </w:rPr>
              <w:t>12.</w:t>
            </w:r>
            <w:r w:rsidR="00F369B9">
              <w:rPr>
                <w:color w:val="000000"/>
              </w:rPr>
              <w:t xml:space="preserve"> </w:t>
            </w:r>
            <w:r w:rsidR="0099475F">
              <w:rPr>
                <w:color w:val="000000"/>
              </w:rPr>
              <w:t xml:space="preserve">                     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Pr="00550313" w:rsidRDefault="00425090" w:rsidP="00FD1754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</w:t>
            </w:r>
            <w:r w:rsidR="00AA63E9">
              <w:rPr>
                <w:b/>
              </w:rPr>
              <w:t>:</w:t>
            </w:r>
            <w:r w:rsidR="00AF7A94">
              <w:rPr>
                <w:b/>
              </w:rPr>
              <w:t xml:space="preserve"> </w:t>
            </w:r>
            <w:r w:rsidR="00FD1754">
              <w:t>7 082,06</w:t>
            </w:r>
            <w:r w:rsidR="002B28D0" w:rsidRPr="00AA63E9">
              <w:rPr>
                <w:bCs/>
                <w:iCs/>
                <w:szCs w:val="28"/>
              </w:rPr>
              <w:t xml:space="preserve"> (</w:t>
            </w:r>
            <w:r w:rsidR="00FD1754">
              <w:rPr>
                <w:bCs/>
                <w:iCs/>
                <w:szCs w:val="28"/>
              </w:rPr>
              <w:t xml:space="preserve">семь </w:t>
            </w:r>
            <w:r w:rsidR="002B28D0" w:rsidRPr="00AA63E9">
              <w:rPr>
                <w:bCs/>
                <w:iCs/>
                <w:szCs w:val="28"/>
              </w:rPr>
              <w:t>тысяч</w:t>
            </w:r>
            <w:r w:rsidR="00F369B9" w:rsidRPr="00AA63E9">
              <w:rPr>
                <w:bCs/>
                <w:iCs/>
                <w:szCs w:val="28"/>
              </w:rPr>
              <w:t xml:space="preserve"> </w:t>
            </w:r>
            <w:r w:rsidR="00FD1754">
              <w:rPr>
                <w:bCs/>
                <w:iCs/>
                <w:szCs w:val="28"/>
              </w:rPr>
              <w:t>восемьдесят два</w:t>
            </w:r>
            <w:r w:rsidR="00F369B9" w:rsidRPr="00AA63E9">
              <w:rPr>
                <w:bCs/>
                <w:iCs/>
                <w:szCs w:val="28"/>
              </w:rPr>
              <w:t>)</w:t>
            </w:r>
            <w:r w:rsidR="005A1F6A" w:rsidRPr="00AA63E9">
              <w:rPr>
                <w:bCs/>
                <w:iCs/>
                <w:szCs w:val="28"/>
              </w:rPr>
              <w:t xml:space="preserve"> </w:t>
            </w:r>
            <w:r w:rsidR="00F369B9" w:rsidRPr="00AA63E9">
              <w:rPr>
                <w:bCs/>
                <w:iCs/>
                <w:szCs w:val="28"/>
              </w:rPr>
              <w:t>рубл</w:t>
            </w:r>
            <w:r w:rsidR="00FD1754">
              <w:rPr>
                <w:bCs/>
                <w:iCs/>
                <w:szCs w:val="28"/>
              </w:rPr>
              <w:t>я</w:t>
            </w:r>
            <w:r w:rsidR="00F369B9" w:rsidRPr="00AA63E9">
              <w:rPr>
                <w:bCs/>
                <w:iCs/>
                <w:szCs w:val="28"/>
              </w:rPr>
              <w:t xml:space="preserve"> </w:t>
            </w:r>
            <w:r w:rsidR="00FD1754">
              <w:rPr>
                <w:bCs/>
                <w:iCs/>
                <w:szCs w:val="28"/>
              </w:rPr>
              <w:t>06</w:t>
            </w:r>
            <w:r w:rsidR="00DC1D13" w:rsidRPr="00AA63E9">
              <w:rPr>
                <w:bCs/>
                <w:iCs/>
                <w:szCs w:val="28"/>
              </w:rPr>
              <w:t xml:space="preserve"> </w:t>
            </w:r>
            <w:r w:rsidR="00F369B9" w:rsidRPr="00AA63E9">
              <w:rPr>
                <w:bCs/>
                <w:iCs/>
                <w:szCs w:val="28"/>
              </w:rPr>
              <w:t>ко</w:t>
            </w:r>
            <w:r w:rsidR="002B28D0" w:rsidRPr="00AA63E9">
              <w:rPr>
                <w:bCs/>
                <w:iCs/>
                <w:szCs w:val="28"/>
              </w:rPr>
              <w:t>пе</w:t>
            </w:r>
            <w:r w:rsidR="00FD1754">
              <w:rPr>
                <w:bCs/>
                <w:iCs/>
                <w:szCs w:val="28"/>
              </w:rPr>
              <w:t>ек</w:t>
            </w:r>
            <w:r w:rsidR="000573E0" w:rsidRPr="00AA63E9">
              <w:t>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0490" w:type="dxa"/>
          </w:tcPr>
          <w:p w:rsidR="003126C9" w:rsidRPr="00AF7A94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FD1754">
              <w:rPr>
                <w:bCs/>
                <w:iCs/>
              </w:rPr>
              <w:t>47 213,76</w:t>
            </w:r>
            <w:r w:rsidR="002B28D0" w:rsidRPr="00AF7A94">
              <w:rPr>
                <w:bCs/>
                <w:iCs/>
              </w:rPr>
              <w:t xml:space="preserve"> (</w:t>
            </w:r>
            <w:r w:rsidR="00FD1754">
              <w:rPr>
                <w:bCs/>
                <w:iCs/>
              </w:rPr>
              <w:t>сорок семь</w:t>
            </w:r>
            <w:r w:rsidR="00AF7A94" w:rsidRPr="00AF7A94">
              <w:rPr>
                <w:bCs/>
                <w:iCs/>
              </w:rPr>
              <w:t xml:space="preserve"> </w:t>
            </w:r>
            <w:r w:rsidR="002B28D0" w:rsidRPr="00AF7A94">
              <w:rPr>
                <w:bCs/>
                <w:iCs/>
              </w:rPr>
              <w:t xml:space="preserve">тысяч </w:t>
            </w:r>
            <w:r w:rsidR="00FD1754">
              <w:rPr>
                <w:bCs/>
                <w:iCs/>
              </w:rPr>
              <w:t>двести тринадцать</w:t>
            </w:r>
            <w:r w:rsidR="00F369B9" w:rsidRPr="00AF7A94">
              <w:rPr>
                <w:bCs/>
                <w:iCs/>
              </w:rPr>
              <w:t>) рубл</w:t>
            </w:r>
            <w:r w:rsidR="00AF7A94" w:rsidRPr="00AF7A94">
              <w:rPr>
                <w:bCs/>
                <w:iCs/>
              </w:rPr>
              <w:t>ей</w:t>
            </w:r>
            <w:r w:rsidR="00F369B9" w:rsidRPr="00AF7A94">
              <w:rPr>
                <w:bCs/>
                <w:iCs/>
              </w:rPr>
              <w:t xml:space="preserve"> </w:t>
            </w:r>
            <w:r w:rsidR="00FD1754">
              <w:rPr>
                <w:bCs/>
                <w:iCs/>
              </w:rPr>
              <w:t>76</w:t>
            </w:r>
            <w:r w:rsidR="002B28D0" w:rsidRPr="00AF7A94">
              <w:rPr>
                <w:bCs/>
                <w:iCs/>
              </w:rPr>
              <w:t xml:space="preserve"> копе</w:t>
            </w:r>
            <w:r w:rsidR="00FD1754">
              <w:rPr>
                <w:bCs/>
                <w:iCs/>
              </w:rPr>
              <w:t>ек</w:t>
            </w:r>
            <w:r w:rsidR="00027489" w:rsidRPr="00AF7A94">
              <w:rPr>
                <w:color w:val="000000"/>
              </w:rPr>
              <w:t>.</w:t>
            </w:r>
            <w:r w:rsidRPr="00AF7A94">
              <w:rPr>
                <w:color w:val="000000"/>
              </w:rPr>
              <w:t xml:space="preserve"> </w:t>
            </w:r>
          </w:p>
          <w:p w:rsidR="007430C7" w:rsidRDefault="000573E0" w:rsidP="00FA0633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0573E0">
              <w:t>л</w:t>
            </w:r>
            <w:proofErr w:type="gramEnd"/>
            <w:r w:rsidR="00FA0633" w:rsidRPr="000573E0">
              <w:t xml:space="preserve">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Pr="00550313" w:rsidRDefault="00FA0633" w:rsidP="00CF6871">
            <w:pPr>
              <w:widowControl w:val="0"/>
              <w:jc w:val="both"/>
            </w:pPr>
            <w:r w:rsidRPr="000573E0">
              <w:t>ИНН 3705001560,</w:t>
            </w:r>
            <w:r>
              <w:t xml:space="preserve"> код ОКТМО 24631101</w:t>
            </w:r>
            <w:r w:rsidR="00CF6871">
              <w:t>,</w:t>
            </w:r>
            <w:r>
              <w:t xml:space="preserve"> </w:t>
            </w:r>
            <w:proofErr w:type="gramStart"/>
            <w:r w:rsidR="000573E0" w:rsidRPr="000573E0">
              <w:t>р</w:t>
            </w:r>
            <w:proofErr w:type="gramEnd"/>
            <w:r w:rsidR="000573E0" w:rsidRPr="000573E0">
              <w:t>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490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lastRenderedPageBreak/>
              <w:t>Представление заявок.</w:t>
            </w:r>
          </w:p>
          <w:p w:rsidR="000D39F1" w:rsidRPr="003F59AB" w:rsidRDefault="000D39F1" w:rsidP="000D39F1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0D39F1" w:rsidRDefault="000D39F1" w:rsidP="000D39F1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Default="000D39F1" w:rsidP="000D39F1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F251F" w:rsidRDefault="000D39F1" w:rsidP="000D39F1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Default="000D39F1" w:rsidP="000D39F1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Pr="00F351C9" w:rsidRDefault="0074511C" w:rsidP="00A02F72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02F72">
              <w:t>Челышева Юлия Вячеславовна</w:t>
            </w:r>
            <w:r w:rsidR="00EB12AE">
              <w:t>.</w:t>
            </w:r>
          </w:p>
        </w:tc>
      </w:tr>
      <w:tr w:rsidR="000952FF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80727E">
              <w:rPr>
                <w:color w:val="548DD4"/>
              </w:rPr>
              <w:t>14</w:t>
            </w:r>
            <w:r w:rsidR="004B3CD2" w:rsidRPr="000746E4">
              <w:rPr>
                <w:color w:val="548DD4"/>
              </w:rPr>
              <w:t xml:space="preserve">» </w:t>
            </w:r>
            <w:r w:rsidR="00DF3ED2">
              <w:rPr>
                <w:color w:val="548DD4"/>
              </w:rPr>
              <w:t>сентября</w:t>
            </w:r>
            <w:r w:rsidR="004B3CD2" w:rsidRPr="000746E4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DF3ED2">
              <w:rPr>
                <w:color w:val="548DD4"/>
              </w:rPr>
              <w:t>8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Pr="000746E4" w:rsidRDefault="0074511C" w:rsidP="007B1517">
            <w:pPr>
              <w:pStyle w:val="a3"/>
              <w:widowControl w:val="0"/>
              <w:rPr>
                <w:color w:val="548DD4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0746E4">
              <w:rPr>
                <w:color w:val="548DD4"/>
              </w:rPr>
              <w:t>«</w:t>
            </w:r>
            <w:r w:rsidR="0080727E">
              <w:rPr>
                <w:color w:val="548DD4"/>
              </w:rPr>
              <w:t>16</w:t>
            </w:r>
            <w:r w:rsidR="004B3CD2" w:rsidRPr="000746E4">
              <w:rPr>
                <w:color w:val="548DD4"/>
              </w:rPr>
              <w:t xml:space="preserve">» </w:t>
            </w:r>
            <w:r w:rsidR="00DF3ED2">
              <w:rPr>
                <w:color w:val="548DD4"/>
              </w:rPr>
              <w:t>октября</w:t>
            </w:r>
            <w:r w:rsidR="004B3CD2" w:rsidRPr="000746E4">
              <w:rPr>
                <w:color w:val="548DD4"/>
              </w:rPr>
              <w:t xml:space="preserve"> </w:t>
            </w:r>
            <w:r w:rsidR="006F4689" w:rsidRPr="000746E4">
              <w:rPr>
                <w:color w:val="548DD4"/>
              </w:rPr>
              <w:t>201</w:t>
            </w:r>
            <w:r w:rsidR="00DF3ED2">
              <w:rPr>
                <w:color w:val="548DD4"/>
              </w:rPr>
              <w:t>8</w:t>
            </w:r>
            <w:r w:rsidR="006F4689" w:rsidRPr="000746E4">
              <w:rPr>
                <w:color w:val="548DD4"/>
              </w:rPr>
              <w:t xml:space="preserve"> года</w:t>
            </w:r>
            <w:r w:rsidRPr="000746E4">
              <w:rPr>
                <w:color w:val="548DD4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5D4FE8" w:rsidRPr="00EB12AE" w:rsidRDefault="002B5DE3" w:rsidP="0080727E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lastRenderedPageBreak/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4B3CD2" w:rsidRPr="000746E4">
              <w:rPr>
                <w:color w:val="548DD4"/>
              </w:rPr>
              <w:t>«</w:t>
            </w:r>
            <w:r w:rsidR="0080727E">
              <w:rPr>
                <w:color w:val="548DD4"/>
              </w:rPr>
              <w:t>17</w:t>
            </w:r>
            <w:r w:rsidR="004B3CD2" w:rsidRPr="000746E4">
              <w:rPr>
                <w:color w:val="548DD4"/>
              </w:rPr>
              <w:t xml:space="preserve">» </w:t>
            </w:r>
            <w:r w:rsidR="00DF3ED2">
              <w:rPr>
                <w:color w:val="548DD4"/>
              </w:rPr>
              <w:t>октября</w:t>
            </w:r>
            <w:r w:rsidR="004C7908" w:rsidRPr="000746E4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DF3ED2">
              <w:rPr>
                <w:color w:val="548DD4"/>
              </w:rPr>
              <w:t>8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D70393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80727E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80727E">
              <w:rPr>
                <w:color w:val="548DD4"/>
              </w:rPr>
              <w:t>23</w:t>
            </w:r>
            <w:r w:rsidR="004B3CD2" w:rsidRPr="000746E4">
              <w:rPr>
                <w:color w:val="548DD4"/>
              </w:rPr>
              <w:t xml:space="preserve">» </w:t>
            </w:r>
            <w:r w:rsidR="0080727E">
              <w:rPr>
                <w:color w:val="548DD4"/>
              </w:rPr>
              <w:t>октября</w:t>
            </w:r>
            <w:r w:rsidR="004B3CD2" w:rsidRPr="000746E4">
              <w:rPr>
                <w:color w:val="548DD4"/>
              </w:rPr>
              <w:t xml:space="preserve"> </w:t>
            </w:r>
            <w:r w:rsidR="001207F0" w:rsidRPr="000746E4">
              <w:rPr>
                <w:color w:val="548DD4"/>
              </w:rPr>
              <w:t>201</w:t>
            </w:r>
            <w:r w:rsidR="00DF3ED2">
              <w:rPr>
                <w:color w:val="548DD4"/>
              </w:rPr>
              <w:t>8</w:t>
            </w:r>
            <w:r w:rsidR="00A1140C" w:rsidRPr="000746E4">
              <w:rPr>
                <w:color w:val="548DD4"/>
              </w:rPr>
              <w:t xml:space="preserve"> </w:t>
            </w:r>
            <w:r w:rsidR="0074511C" w:rsidRPr="000746E4">
              <w:rPr>
                <w:color w:val="548DD4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0D39F1" w:rsidT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:rsidR="000D39F1" w:rsidRDefault="000D39F1" w:rsidP="000D39F1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7617F9" w:rsidRDefault="0074511C" w:rsidP="007617F9">
      <w:pPr>
        <w:widowControl w:val="0"/>
        <w:jc w:val="center"/>
      </w:pPr>
      <w:r>
        <w:rPr>
          <w:sz w:val="16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2018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987619">
        <w:t>748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987619">
        <w:rPr>
          <w:color w:val="000000"/>
        </w:rPr>
        <w:t>1727</w:t>
      </w:r>
      <w:r w:rsidR="001F6797">
        <w:rPr>
          <w:color w:val="000000"/>
        </w:rPr>
        <w:t>:</w:t>
      </w:r>
      <w:r w:rsidR="00987619">
        <w:rPr>
          <w:color w:val="000000"/>
        </w:rPr>
        <w:t>3,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987619">
        <w:rPr>
          <w:color w:val="000000"/>
        </w:rPr>
        <w:t>Некрасовская</w:t>
      </w:r>
      <w:r w:rsidR="00844F7E">
        <w:rPr>
          <w:color w:val="000000"/>
        </w:rPr>
        <w:t>,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>д.</w:t>
      </w:r>
      <w:r w:rsidR="00987619">
        <w:rPr>
          <w:color w:val="000000"/>
        </w:rPr>
        <w:t>12</w:t>
      </w:r>
      <w:r w:rsidR="00844F7E">
        <w:rPr>
          <w:color w:val="000000"/>
        </w:rPr>
        <w:t xml:space="preserve">, </w:t>
      </w:r>
      <w:r w:rsidR="001F6797">
        <w:t xml:space="preserve">разрешенное использование (назначение) </w:t>
      </w:r>
      <w:proofErr w:type="gramStart"/>
      <w:r w:rsidR="001F6797">
        <w:t>–и</w:t>
      </w:r>
      <w:proofErr w:type="gramEnd"/>
      <w:r w:rsidR="001F6797">
        <w:t>ндивидуально</w:t>
      </w:r>
      <w:r w:rsidR="00987619">
        <w:t>е</w:t>
      </w:r>
      <w:r w:rsidR="001F6797">
        <w:t xml:space="preserve"> </w:t>
      </w:r>
      <w:r w:rsidR="00844F7E">
        <w:t>жилищно</w:t>
      </w:r>
      <w:r w:rsidR="00987619">
        <w:t>е</w:t>
      </w:r>
      <w:r w:rsidR="00844F7E">
        <w:t xml:space="preserve"> строительств</w:t>
      </w:r>
      <w:r w:rsidR="00987619">
        <w:t>о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675668">
          <w:rPr>
            <w:rStyle w:val="ac"/>
            <w:lang w:val="en-US"/>
          </w:rPr>
          <w:t>www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torqi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qov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Фурмановского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2018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2018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18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>а Романа Александровича, действующего на основании Устава, и Решения Совета Фурмановского муниципальн</w:t>
      </w:r>
      <w:r w:rsidR="008D61B2">
        <w:t xml:space="preserve">ого района от </w:t>
      </w:r>
      <w:r w:rsidR="0077065F">
        <w:t>12</w:t>
      </w:r>
      <w:r w:rsidR="008D61B2">
        <w:t>.0</w:t>
      </w:r>
      <w:r w:rsidR="0077065F">
        <w:t xml:space="preserve">7.2018 №75 </w:t>
      </w:r>
      <w:r w:rsidR="008D61B2">
        <w:t>«</w:t>
      </w:r>
      <w:r>
        <w:t>О</w:t>
      </w:r>
      <w:r w:rsidR="0077065F">
        <w:t>б избрании</w:t>
      </w:r>
      <w:r>
        <w:t xml:space="preserve"> главы Фурмановского муниципального района</w:t>
      </w:r>
      <w:r w:rsidR="0077065F">
        <w:t>»</w:t>
      </w:r>
      <w:r>
        <w:t xml:space="preserve"> и 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______</w:t>
      </w:r>
      <w:r w:rsidR="00212062">
        <w:t>____</w:t>
      </w:r>
      <w:r>
        <w:t>__</w:t>
      </w:r>
      <w:r w:rsidR="00212062">
        <w:t xml:space="preserve"> </w:t>
      </w:r>
    </w:p>
    <w:p w:rsidR="00212062" w:rsidRDefault="00212062" w:rsidP="00212062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в лице___________________________________________________________</w:t>
      </w:r>
      <w:r w:rsidR="00441C2A">
        <w:t>______________</w:t>
      </w:r>
    </w:p>
    <w:p w:rsidR="007617F9" w:rsidRDefault="007617F9" w:rsidP="00E76E45">
      <w:pPr>
        <w:widowControl w:val="0"/>
        <w:jc w:val="both"/>
      </w:pPr>
      <w:r>
        <w:t>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9C666F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987619" w:rsidRPr="00B373F0">
        <w:t>748</w:t>
      </w:r>
      <w:r w:rsidRPr="00B373F0">
        <w:t xml:space="preserve">  кв</w:t>
      </w:r>
      <w:r>
        <w:t>. м.</w:t>
      </w:r>
      <w:r>
        <w:rPr>
          <w:color w:val="000000"/>
        </w:rPr>
        <w:t xml:space="preserve">, категория земель - </w:t>
      </w:r>
      <w:r w:rsidRPr="00BC758D">
        <w:rPr>
          <w:color w:val="000000"/>
        </w:rPr>
        <w:t>земли населенных пун</w:t>
      </w:r>
      <w:r>
        <w:rPr>
          <w:color w:val="000000"/>
        </w:rPr>
        <w:t>ктов,</w:t>
      </w:r>
      <w:r w:rsidRPr="00BC758D">
        <w:rPr>
          <w:color w:val="000000"/>
        </w:rPr>
        <w:t xml:space="preserve"> с кадастровым номером </w:t>
      </w:r>
      <w:r w:rsidRPr="00B373F0">
        <w:t>37:</w:t>
      </w:r>
      <w:r w:rsidR="0058770D" w:rsidRPr="00B373F0">
        <w:t>27</w:t>
      </w:r>
      <w:r w:rsidRPr="00B373F0">
        <w:t>:</w:t>
      </w:r>
      <w:r w:rsidR="00987619" w:rsidRPr="00B373F0">
        <w:t>011727</w:t>
      </w:r>
      <w:r w:rsidRPr="00B373F0">
        <w:t>:</w:t>
      </w:r>
      <w:r w:rsidR="00987619" w:rsidRPr="00B373F0">
        <w:t>3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58770D">
        <w:rPr>
          <w:color w:val="000000"/>
        </w:rPr>
        <w:t>г. Фурманов</w:t>
      </w:r>
      <w:r>
        <w:rPr>
          <w:color w:val="000000"/>
        </w:rPr>
        <w:t>,</w:t>
      </w:r>
      <w:r w:rsidR="00987619">
        <w:rPr>
          <w:color w:val="000000"/>
        </w:rPr>
        <w:t xml:space="preserve"> ул</w:t>
      </w:r>
      <w:proofErr w:type="gramStart"/>
      <w:r w:rsidR="00987619">
        <w:rPr>
          <w:color w:val="000000"/>
        </w:rPr>
        <w:t>.Н</w:t>
      </w:r>
      <w:proofErr w:type="gramEnd"/>
      <w:r w:rsidR="00987619">
        <w:rPr>
          <w:color w:val="000000"/>
        </w:rPr>
        <w:t>екрасовская</w:t>
      </w:r>
      <w:r w:rsidR="0058770D">
        <w:rPr>
          <w:color w:val="000000"/>
        </w:rPr>
        <w:t>, д.</w:t>
      </w:r>
      <w:r w:rsidR="00987619">
        <w:rPr>
          <w:color w:val="000000"/>
        </w:rPr>
        <w:t>12</w:t>
      </w:r>
      <w:r w:rsidR="0058770D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>
        <w:rPr>
          <w:color w:val="000000"/>
        </w:rPr>
        <w:t>–</w:t>
      </w:r>
      <w:r w:rsidR="005E7121">
        <w:rPr>
          <w:color w:val="000000"/>
        </w:rPr>
        <w:t xml:space="preserve"> </w:t>
      </w:r>
      <w:r w:rsidR="0006343F">
        <w:rPr>
          <w:color w:val="000000"/>
        </w:rPr>
        <w:t>индивидуально</w:t>
      </w:r>
      <w:r w:rsidR="00987619">
        <w:rPr>
          <w:color w:val="000000"/>
        </w:rPr>
        <w:t>е</w:t>
      </w:r>
      <w:r w:rsidR="0006343F">
        <w:rPr>
          <w:color w:val="000000"/>
        </w:rPr>
        <w:t xml:space="preserve"> </w:t>
      </w:r>
      <w:r w:rsidR="00987619">
        <w:rPr>
          <w:color w:val="000000"/>
        </w:rPr>
        <w:t>жилищное строительство</w:t>
      </w:r>
      <w:r w:rsidRPr="00BC758D">
        <w:rPr>
          <w:color w:val="000000"/>
        </w:rPr>
        <w:t xml:space="preserve">, перечисляет </w:t>
      </w:r>
      <w:r w:rsidRPr="00610B9B">
        <w:rPr>
          <w:color w:val="FF0000"/>
        </w:rPr>
        <w:t xml:space="preserve">задаток в размере </w:t>
      </w:r>
      <w:r w:rsidR="00987619">
        <w:rPr>
          <w:color w:val="FF0000"/>
        </w:rPr>
        <w:t>47 213,76</w:t>
      </w:r>
      <w:r w:rsidR="0006343F">
        <w:rPr>
          <w:color w:val="FF0000"/>
        </w:rPr>
        <w:t xml:space="preserve"> </w:t>
      </w:r>
      <w:r w:rsidRPr="00610B9B">
        <w:rPr>
          <w:color w:val="FF0000"/>
        </w:rPr>
        <w:t>(</w:t>
      </w:r>
      <w:r w:rsidR="00987619">
        <w:rPr>
          <w:color w:val="FF0000"/>
        </w:rPr>
        <w:t xml:space="preserve">сорок семь </w:t>
      </w:r>
      <w:r w:rsidR="0006343F">
        <w:rPr>
          <w:color w:val="FF0000"/>
        </w:rPr>
        <w:t xml:space="preserve">тысяч </w:t>
      </w:r>
      <w:r w:rsidR="00987619">
        <w:rPr>
          <w:color w:val="FF0000"/>
        </w:rPr>
        <w:t>двести тринадцать</w:t>
      </w:r>
      <w:r w:rsidRPr="00610B9B">
        <w:rPr>
          <w:color w:val="FF0000"/>
        </w:rPr>
        <w:t>) рубл</w:t>
      </w:r>
      <w:r w:rsidR="00FA73D2">
        <w:rPr>
          <w:color w:val="FF0000"/>
        </w:rPr>
        <w:t>ей</w:t>
      </w:r>
      <w:r w:rsidRPr="00610B9B">
        <w:rPr>
          <w:color w:val="FF0000"/>
        </w:rPr>
        <w:t xml:space="preserve"> </w:t>
      </w:r>
      <w:r w:rsidR="00987619">
        <w:rPr>
          <w:color w:val="FF0000"/>
        </w:rPr>
        <w:t>76</w:t>
      </w:r>
      <w:r w:rsidRPr="00610B9B">
        <w:rPr>
          <w:color w:val="FF0000"/>
        </w:rPr>
        <w:t xml:space="preserve"> копе</w:t>
      </w:r>
      <w:r w:rsidR="00987619">
        <w:rPr>
          <w:color w:val="FF0000"/>
        </w:rPr>
        <w:t>ек</w:t>
      </w:r>
      <w:r w:rsidRPr="00610B9B">
        <w:rPr>
          <w:color w:val="FF0000"/>
        </w:rPr>
        <w:t>,</w:t>
      </w:r>
      <w:r>
        <w:rPr>
          <w:color w:val="000000"/>
        </w:rPr>
        <w:t xml:space="preserve"> </w:t>
      </w:r>
      <w:r w:rsidRPr="001B2E09">
        <w:rPr>
          <w:color w:val="000000"/>
        </w:rPr>
        <w:t xml:space="preserve">а Продавец принимает задаток на </w:t>
      </w:r>
      <w:r w:rsidR="008F1D32">
        <w:rPr>
          <w:color w:val="000000"/>
        </w:rPr>
        <w:t xml:space="preserve">         </w:t>
      </w:r>
      <w:r w:rsidRPr="001B2E09">
        <w:rPr>
          <w:color w:val="000000"/>
        </w:rPr>
        <w:t xml:space="preserve">л/с </w:t>
      </w:r>
      <w:r w:rsidRPr="009C666F">
        <w:t xml:space="preserve">05333007140 в УФК по Ивановской области (Администрация Фурмановского муниципального района) р/с 40302810800003000050 Отделение Иваново г. Иваново, </w:t>
      </w:r>
      <w:r w:rsidR="008F1D32">
        <w:t xml:space="preserve">    </w:t>
      </w:r>
      <w:r w:rsidRPr="009C666F">
        <w:t xml:space="preserve">БИК 042406001, ОКПО 04027496, ОГРН 1023701358988, ИНН 3705001560, </w:t>
      </w:r>
      <w:r w:rsidR="008F1D32">
        <w:t xml:space="preserve">                    </w:t>
      </w:r>
      <w:r w:rsidRPr="009C666F">
        <w:t>КПП 37050100</w:t>
      </w:r>
      <w:r w:rsidR="00EC7521" w:rsidRPr="009C666F">
        <w:t>1</w:t>
      </w:r>
      <w:r w:rsidRPr="009C666F">
        <w:t>, ОКТМО 24631101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>
        <w:rPr>
          <w:color w:val="FF0000"/>
        </w:rPr>
        <w:t>заявки на участие в аукционе на право покупки земельного участка</w:t>
      </w:r>
      <w:r w:rsidRPr="000C2B94">
        <w:rPr>
          <w:color w:val="FF0000"/>
        </w:rPr>
        <w:t xml:space="preserve">, принятых на себя Претендентом в соответствии с информационным сообщением о </w:t>
      </w:r>
      <w:r>
        <w:rPr>
          <w:color w:val="FF0000"/>
        </w:rPr>
        <w:t>проведении аукциона</w:t>
      </w:r>
      <w:r w:rsidRPr="000C2B94">
        <w:rPr>
          <w:b/>
          <w:szCs w:val="28"/>
        </w:rPr>
        <w:t xml:space="preserve"> </w:t>
      </w:r>
      <w:r w:rsidR="00753834">
        <w:rPr>
          <w:color w:val="FF0000"/>
        </w:rPr>
        <w:t>по продаже</w:t>
      </w:r>
      <w:r w:rsidRPr="000C2B94">
        <w:rPr>
          <w:color w:val="FF0000"/>
        </w:rPr>
        <w:t xml:space="preserve"> земельного участка</w:t>
      </w:r>
      <w:r>
        <w:t>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675668">
          <w:rPr>
            <w:rStyle w:val="ac"/>
            <w:lang w:val="en-US"/>
          </w:rPr>
          <w:t>www</w:t>
        </w:r>
        <w:r w:rsidR="00F37E85" w:rsidRPr="00675668">
          <w:rPr>
            <w:rStyle w:val="ac"/>
          </w:rPr>
          <w:t>.</w:t>
        </w:r>
        <w:r w:rsidR="00F37E85" w:rsidRPr="00675668">
          <w:rPr>
            <w:rStyle w:val="ac"/>
            <w:lang w:val="en-US"/>
          </w:rPr>
          <w:t>torqi</w:t>
        </w:r>
        <w:r w:rsidR="00F37E85" w:rsidRPr="00675668">
          <w:rPr>
            <w:rStyle w:val="ac"/>
          </w:rPr>
          <w:t>.</w:t>
        </w:r>
        <w:proofErr w:type="gramStart"/>
        <w:r w:rsidR="00F37E85" w:rsidRPr="00675668">
          <w:rPr>
            <w:rStyle w:val="ac"/>
            <w:lang w:val="en-US"/>
          </w:rPr>
          <w:t>qov</w:t>
        </w:r>
        <w:r w:rsidR="00F37E85" w:rsidRPr="00675668">
          <w:rPr>
            <w:rStyle w:val="ac"/>
          </w:rPr>
          <w:t>.</w:t>
        </w:r>
        <w:r w:rsidR="00F37E85" w:rsidRPr="00675668">
          <w:rPr>
            <w:rStyle w:val="ac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8F1D32">
        <w:rPr>
          <w:color w:val="548DD4"/>
        </w:rPr>
        <w:t>29.10.2018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2018г.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и Решения Совета Фурмановского муниципального района от </w:t>
      </w:r>
      <w:r w:rsidR="00912CB5">
        <w:t>12</w:t>
      </w:r>
      <w:r w:rsidR="00E44559">
        <w:t>.0</w:t>
      </w:r>
      <w:r w:rsidR="00912CB5">
        <w:t>7</w:t>
      </w:r>
      <w:r w:rsidR="00E44559">
        <w:t xml:space="preserve">.2018 № </w:t>
      </w:r>
      <w:r w:rsidR="00443BBD">
        <w:t xml:space="preserve">75 </w:t>
      </w:r>
      <w:r w:rsidR="00912CB5">
        <w:t>«</w:t>
      </w:r>
      <w:r w:rsidR="00E44559">
        <w:t>О</w:t>
      </w:r>
      <w:r w:rsidR="00912CB5">
        <w:t>б избрании</w:t>
      </w:r>
      <w:r w:rsidR="00E44559">
        <w:t xml:space="preserve"> главы Фурм</w:t>
      </w:r>
      <w:r w:rsidR="00912CB5">
        <w:t>ановского муниципального района»</w:t>
      </w:r>
      <w:r w:rsidR="00E44559">
        <w:t xml:space="preserve"> </w:t>
      </w:r>
      <w:r w:rsidRPr="00AF15DD">
        <w:t xml:space="preserve">с одной стороны, и </w:t>
      </w:r>
      <w:r w:rsidR="00443BBD">
        <w:rPr>
          <w:b/>
        </w:rPr>
        <w:t xml:space="preserve">______________________________________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proofErr w:type="gramStart"/>
      <w:r w:rsidR="00AF15DD" w:rsidRPr="000746E4">
        <w:rPr>
          <w:color w:val="548DD4"/>
        </w:rPr>
        <w:t>от</w:t>
      </w:r>
      <w:proofErr w:type="gramEnd"/>
      <w:r w:rsidR="00AF15DD" w:rsidRPr="000746E4">
        <w:rPr>
          <w:color w:val="548DD4"/>
        </w:rPr>
        <w:t xml:space="preserve">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>«</w:t>
      </w:r>
      <w:proofErr w:type="gramStart"/>
      <w:r w:rsidR="00AF15DD" w:rsidRPr="00AF15DD">
        <w:t>О</w:t>
      </w:r>
      <w:proofErr w:type="gramEnd"/>
      <w:r w:rsidR="00AF15DD" w:rsidRPr="00AF15DD">
        <w:t xml:space="preserve">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D7096B">
        <w:t>8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085B24">
        <w:rPr>
          <w:bCs/>
        </w:rPr>
        <w:t>7</w:t>
      </w:r>
      <w:r w:rsidR="00443BBD">
        <w:rPr>
          <w:bCs/>
        </w:rPr>
        <w:t xml:space="preserve">48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085B24">
        <w:rPr>
          <w:bCs/>
        </w:rPr>
        <w:t>1727</w:t>
      </w:r>
      <w:r w:rsidRPr="00AF15DD">
        <w:rPr>
          <w:bCs/>
        </w:rPr>
        <w:t>:</w:t>
      </w:r>
      <w:r w:rsidR="00085B24">
        <w:rPr>
          <w:bCs/>
        </w:rPr>
        <w:t>3</w:t>
      </w:r>
      <w:r w:rsidRPr="00AF15DD">
        <w:rPr>
          <w:bCs/>
        </w:rPr>
        <w:t>, расположенный по адресу: Ивановская область,</w:t>
      </w:r>
      <w:r w:rsidR="00085B24">
        <w:rPr>
          <w:bCs/>
        </w:rPr>
        <w:t xml:space="preserve"> </w:t>
      </w:r>
      <w:r w:rsidR="00B91D54">
        <w:rPr>
          <w:bCs/>
        </w:rPr>
        <w:t xml:space="preserve">г. Фурманов, ул. </w:t>
      </w:r>
      <w:r w:rsidR="00085B24">
        <w:rPr>
          <w:bCs/>
        </w:rPr>
        <w:t>Некрасовская, д.12</w:t>
      </w:r>
      <w:r w:rsidRPr="00AF15DD">
        <w:rPr>
          <w:bCs/>
        </w:rPr>
        <w:t xml:space="preserve"> (далее - Участок), разрешенное использование (назначение) - индивидуально</w:t>
      </w:r>
      <w:r w:rsidR="00085B24">
        <w:rPr>
          <w:bCs/>
        </w:rPr>
        <w:t>е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</w:t>
      </w:r>
      <w:r w:rsidR="00085B24">
        <w:rPr>
          <w:bCs/>
        </w:rPr>
        <w:t>е</w:t>
      </w:r>
      <w:r w:rsidR="00B91D54">
        <w:rPr>
          <w:bCs/>
        </w:rPr>
        <w:t xml:space="preserve"> строительств</w:t>
      </w:r>
      <w:r w:rsidR="00085B24">
        <w:rPr>
          <w:bCs/>
        </w:rPr>
        <w:t>о</w:t>
      </w:r>
      <w:r w:rsidR="00B91D54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_______2018г.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</w:t>
      </w:r>
      <w:r w:rsidRPr="00AF15DD">
        <w:rPr>
          <w:bCs/>
        </w:rPr>
        <w:lastRenderedPageBreak/>
        <w:t>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E03A3E" w:rsidRPr="00E03A3E">
        <w:rPr>
          <w:bCs/>
        </w:rPr>
        <w:t>8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>
        <w:t>8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>
        <w:t>8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70061"/>
    <w:rsid w:val="000746E4"/>
    <w:rsid w:val="00075C4F"/>
    <w:rsid w:val="000817CE"/>
    <w:rsid w:val="00083EE1"/>
    <w:rsid w:val="00085196"/>
    <w:rsid w:val="00085B24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DB9"/>
    <w:rsid w:val="001B7F38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F5372"/>
    <w:rsid w:val="001F6797"/>
    <w:rsid w:val="00212062"/>
    <w:rsid w:val="0021366E"/>
    <w:rsid w:val="00214084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705CA"/>
    <w:rsid w:val="00570A7C"/>
    <w:rsid w:val="00575FD2"/>
    <w:rsid w:val="00577AD5"/>
    <w:rsid w:val="005876E7"/>
    <w:rsid w:val="0058770D"/>
    <w:rsid w:val="00587C88"/>
    <w:rsid w:val="0059191A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805A5"/>
    <w:rsid w:val="00686468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5954"/>
    <w:rsid w:val="00765D21"/>
    <w:rsid w:val="0077065F"/>
    <w:rsid w:val="007773D4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6EBD"/>
    <w:rsid w:val="00817FBD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DDD"/>
    <w:rsid w:val="009307DB"/>
    <w:rsid w:val="009318A9"/>
    <w:rsid w:val="00937919"/>
    <w:rsid w:val="009429E3"/>
    <w:rsid w:val="00943C37"/>
    <w:rsid w:val="009448D1"/>
    <w:rsid w:val="00945895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E4FB2"/>
    <w:rsid w:val="00AF15DD"/>
    <w:rsid w:val="00AF3595"/>
    <w:rsid w:val="00AF3623"/>
    <w:rsid w:val="00AF7A94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77DF"/>
    <w:rsid w:val="00B23EFB"/>
    <w:rsid w:val="00B25AF3"/>
    <w:rsid w:val="00B307E6"/>
    <w:rsid w:val="00B30E61"/>
    <w:rsid w:val="00B31B40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97E07"/>
    <w:rsid w:val="00BA10AD"/>
    <w:rsid w:val="00BA25BA"/>
    <w:rsid w:val="00BA2AAF"/>
    <w:rsid w:val="00BA2C3E"/>
    <w:rsid w:val="00BA3356"/>
    <w:rsid w:val="00BA3B77"/>
    <w:rsid w:val="00BC0563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5F7B"/>
    <w:rsid w:val="00EC1657"/>
    <w:rsid w:val="00EC1C22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AE8"/>
    <w:rsid w:val="00FA73D2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5B67-A37A-4669-BA38-6FEA31D2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34971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</cp:lastModifiedBy>
  <cp:revision>2</cp:revision>
  <cp:lastPrinted>2018-08-29T08:27:00Z</cp:lastPrinted>
  <dcterms:created xsi:type="dcterms:W3CDTF">2018-09-13T11:45:00Z</dcterms:created>
  <dcterms:modified xsi:type="dcterms:W3CDTF">2018-09-13T11:45:00Z</dcterms:modified>
</cp:coreProperties>
</file>