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852611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852611">
        <w:rPr>
          <w:noProof/>
        </w:rPr>
        <w:pict>
          <v:line id="_x0000_s1026" style="position:absolute;z-index:251657728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282"/>
        <w:gridCol w:w="1571"/>
      </w:tblGrid>
      <w:tr w:rsidR="0038216C" w:rsidRPr="007D614E">
        <w:tc>
          <w:tcPr>
            <w:tcW w:w="4203" w:type="pct"/>
          </w:tcPr>
          <w:p w:rsidR="0038216C" w:rsidRPr="004753B9" w:rsidRDefault="0038216C" w:rsidP="003702C0">
            <w:pPr>
              <w:jc w:val="both"/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3702C0">
              <w:rPr>
                <w:sz w:val="24"/>
                <w:szCs w:val="24"/>
              </w:rPr>
              <w:t xml:space="preserve">03 марта </w:t>
            </w:r>
            <w:r w:rsidRPr="004753B9">
              <w:rPr>
                <w:sz w:val="24"/>
                <w:szCs w:val="24"/>
              </w:rPr>
              <w:t>20</w:t>
            </w:r>
            <w:r w:rsidR="00565DE1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4753B9" w:rsidRDefault="0038216C" w:rsidP="00602FF0">
            <w:pPr>
              <w:rPr>
                <w:sz w:val="24"/>
                <w:szCs w:val="24"/>
                <w:lang w:val="en-US"/>
              </w:rPr>
            </w:pPr>
            <w:r w:rsidRPr="004753B9">
              <w:rPr>
                <w:sz w:val="24"/>
                <w:szCs w:val="24"/>
              </w:rPr>
              <w:t xml:space="preserve">   </w:t>
            </w:r>
            <w:r w:rsidR="003702C0">
              <w:rPr>
                <w:sz w:val="24"/>
                <w:szCs w:val="24"/>
              </w:rPr>
              <w:t xml:space="preserve">          </w:t>
            </w:r>
            <w:r w:rsidRPr="004753B9">
              <w:rPr>
                <w:sz w:val="24"/>
                <w:szCs w:val="24"/>
              </w:rPr>
              <w:t xml:space="preserve">№ </w:t>
            </w:r>
            <w:r w:rsidR="003702C0">
              <w:rPr>
                <w:sz w:val="24"/>
                <w:szCs w:val="24"/>
              </w:rPr>
              <w:t>29</w:t>
            </w:r>
          </w:p>
          <w:p w:rsidR="0038216C" w:rsidRPr="004753B9" w:rsidRDefault="0038216C" w:rsidP="004753B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38216C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565DE1" w:rsidRDefault="00565DE1" w:rsidP="00087382">
      <w:pPr>
        <w:jc w:val="center"/>
      </w:pPr>
    </w:p>
    <w:p w:rsidR="00B35908" w:rsidRDefault="00B35908" w:rsidP="00087382">
      <w:pPr>
        <w:jc w:val="center"/>
      </w:pPr>
    </w:p>
    <w:p w:rsidR="00565DE1" w:rsidRDefault="00565DE1" w:rsidP="00565D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составления и ведения кассового плана исполнения бюджета Фурмановского муниципального района и бюджета Фурмановского городского поселения</w:t>
      </w:r>
    </w:p>
    <w:p w:rsidR="00565DE1" w:rsidRDefault="00565DE1" w:rsidP="00B35908">
      <w:pPr>
        <w:pStyle w:val="9"/>
      </w:pPr>
    </w:p>
    <w:p w:rsidR="00565DE1" w:rsidRDefault="00565DE1" w:rsidP="00B35908">
      <w:pPr>
        <w:pStyle w:val="a7"/>
      </w:pPr>
    </w:p>
    <w:p w:rsidR="00565DE1" w:rsidRDefault="00565DE1" w:rsidP="003702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217.1 Бюджетного кодекса Российской Федерации </w:t>
      </w:r>
    </w:p>
    <w:p w:rsidR="003702C0" w:rsidRDefault="00565DE1" w:rsidP="003702C0">
      <w:pPr>
        <w:pStyle w:val="a7"/>
        <w:ind w:firstLine="0"/>
        <w:rPr>
          <w:szCs w:val="24"/>
        </w:rPr>
      </w:pP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р</w:t>
      </w:r>
      <w:proofErr w:type="spellEnd"/>
      <w:r>
        <w:rPr>
          <w:szCs w:val="24"/>
        </w:rPr>
        <w:t xml:space="preserve"> и к а </w:t>
      </w:r>
      <w:proofErr w:type="spellStart"/>
      <w:r>
        <w:rPr>
          <w:szCs w:val="24"/>
        </w:rPr>
        <w:t>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ы</w:t>
      </w:r>
      <w:proofErr w:type="spellEnd"/>
      <w:r>
        <w:rPr>
          <w:szCs w:val="24"/>
        </w:rPr>
        <w:t xml:space="preserve"> в а ю:</w:t>
      </w:r>
      <w:r w:rsidR="003702C0">
        <w:rPr>
          <w:szCs w:val="24"/>
        </w:rPr>
        <w:t xml:space="preserve"> </w:t>
      </w:r>
    </w:p>
    <w:p w:rsidR="003702C0" w:rsidRDefault="00565DE1" w:rsidP="003702C0">
      <w:pPr>
        <w:pStyle w:val="a7"/>
        <w:ind w:firstLine="540"/>
        <w:rPr>
          <w:szCs w:val="24"/>
        </w:rPr>
      </w:pPr>
      <w:r>
        <w:t xml:space="preserve">1. Установить Порядок </w:t>
      </w:r>
      <w:r>
        <w:rPr>
          <w:szCs w:val="24"/>
        </w:rPr>
        <w:t>составления и ведения кассового плана исполнения бюджета Фурмановского муниципального района (прилагается).</w:t>
      </w:r>
      <w:r w:rsidR="003702C0">
        <w:rPr>
          <w:szCs w:val="24"/>
        </w:rPr>
        <w:t xml:space="preserve"> </w:t>
      </w:r>
    </w:p>
    <w:p w:rsidR="00565DE1" w:rsidRDefault="00565DE1" w:rsidP="003702C0">
      <w:pPr>
        <w:pStyle w:val="a7"/>
        <w:ind w:firstLine="540"/>
        <w:rPr>
          <w:szCs w:val="24"/>
        </w:rPr>
      </w:pPr>
      <w:r>
        <w:rPr>
          <w:szCs w:val="24"/>
        </w:rPr>
        <w:t>2. Признать утратившим силу приказ финансового отдела администрации Фурмановского муниципального района от 15.07.2009 года №42 «Об утверждении Порядка составления и ведения кассового плана бюджета Фурмановского муниципального района».</w:t>
      </w:r>
    </w:p>
    <w:p w:rsidR="003702C0" w:rsidRPr="003702C0" w:rsidRDefault="003702C0" w:rsidP="00370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2C0">
        <w:rPr>
          <w:rFonts w:ascii="Times New Roman" w:hAnsi="Times New Roman" w:cs="Times New Roman"/>
          <w:sz w:val="26"/>
          <w:szCs w:val="26"/>
        </w:rPr>
        <w:t>3. Отделу автоматизации бюджетного процесса (П.М.Коктышев) обеспечить размещение настоящего приказа на официальном сайте администрации Фурмановского муниципального района.</w:t>
      </w:r>
    </w:p>
    <w:p w:rsidR="003702C0" w:rsidRPr="003702C0" w:rsidRDefault="003702C0" w:rsidP="00370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2C0">
        <w:rPr>
          <w:rFonts w:ascii="Times New Roman" w:hAnsi="Times New Roman" w:cs="Times New Roman"/>
          <w:sz w:val="26"/>
          <w:szCs w:val="26"/>
        </w:rPr>
        <w:t>4. Бюджетному отделу довести настоящий приказ до главных распорядителей средств бюджета Фурмановского муниципального района и Фурмановского городского поселения.</w:t>
      </w:r>
    </w:p>
    <w:p w:rsidR="003702C0" w:rsidRDefault="003702C0" w:rsidP="00370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2C0">
        <w:rPr>
          <w:rFonts w:ascii="Times New Roman" w:hAnsi="Times New Roman" w:cs="Times New Roman"/>
          <w:sz w:val="26"/>
          <w:szCs w:val="26"/>
        </w:rPr>
        <w:t xml:space="preserve">5. Главным распорядителям средств бюджета Фурмановского муниципального района и Фурмановского городского поселения довести настоящий приказ до находящихся в их ведении учреждений </w:t>
      </w:r>
      <w:r>
        <w:rPr>
          <w:rFonts w:ascii="Times New Roman" w:hAnsi="Times New Roman" w:cs="Times New Roman"/>
          <w:sz w:val="26"/>
          <w:szCs w:val="26"/>
        </w:rPr>
        <w:t>Фурмановского муниципального района</w:t>
      </w:r>
      <w:r w:rsidRPr="003702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2C0" w:rsidRDefault="003702C0" w:rsidP="00370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2C0">
        <w:rPr>
          <w:rFonts w:ascii="Times New Roman" w:hAnsi="Times New Roman" w:cs="Times New Roman"/>
          <w:sz w:val="26"/>
          <w:szCs w:val="26"/>
        </w:rPr>
        <w:t xml:space="preserve">6. Настоящий приказ вступает в силу </w:t>
      </w:r>
      <w:proofErr w:type="gramStart"/>
      <w:r w:rsidRPr="003702C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702C0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</w:t>
      </w:r>
      <w:r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565DE1" w:rsidRPr="003702C0" w:rsidRDefault="003702C0" w:rsidP="003702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2C0">
        <w:rPr>
          <w:rFonts w:ascii="Times New Roman" w:hAnsi="Times New Roman" w:cs="Times New Roman"/>
          <w:sz w:val="26"/>
          <w:szCs w:val="26"/>
        </w:rPr>
        <w:t>7</w:t>
      </w:r>
      <w:r w:rsidR="00565DE1" w:rsidRPr="003702C0">
        <w:rPr>
          <w:rFonts w:ascii="Times New Roman" w:hAnsi="Times New Roman" w:cs="Times New Roman"/>
          <w:sz w:val="26"/>
          <w:szCs w:val="26"/>
        </w:rPr>
        <w:t xml:space="preserve">. Контроль </w:t>
      </w:r>
      <w:r>
        <w:rPr>
          <w:rFonts w:ascii="Times New Roman" w:hAnsi="Times New Roman" w:cs="Times New Roman"/>
          <w:sz w:val="26"/>
          <w:szCs w:val="26"/>
        </w:rPr>
        <w:t>исполнения</w:t>
      </w:r>
      <w:r w:rsidR="00565DE1" w:rsidRPr="003702C0">
        <w:rPr>
          <w:rFonts w:ascii="Times New Roman" w:hAnsi="Times New Roman" w:cs="Times New Roman"/>
          <w:sz w:val="26"/>
          <w:szCs w:val="26"/>
        </w:rPr>
        <w:t xml:space="preserve"> настоящего приказа оставляю за собой.</w:t>
      </w:r>
    </w:p>
    <w:p w:rsidR="00565DE1" w:rsidRPr="003702C0" w:rsidRDefault="00565DE1" w:rsidP="00565DE1">
      <w:pPr>
        <w:pStyle w:val="a7"/>
        <w:ind w:firstLine="0"/>
        <w:rPr>
          <w:sz w:val="26"/>
          <w:szCs w:val="26"/>
        </w:rPr>
      </w:pPr>
    </w:p>
    <w:p w:rsidR="00565DE1" w:rsidRDefault="00565DE1" w:rsidP="00565DE1">
      <w:pPr>
        <w:pStyle w:val="a7"/>
        <w:ind w:firstLine="0"/>
      </w:pPr>
    </w:p>
    <w:p w:rsidR="00565DE1" w:rsidRDefault="00565DE1" w:rsidP="00565DE1">
      <w:pPr>
        <w:pStyle w:val="a7"/>
        <w:ind w:firstLine="0"/>
      </w:pPr>
    </w:p>
    <w:tbl>
      <w:tblPr>
        <w:tblW w:w="0" w:type="auto"/>
        <w:tblLook w:val="01E0"/>
      </w:tblPr>
      <w:tblGrid>
        <w:gridCol w:w="4593"/>
        <w:gridCol w:w="5260"/>
      </w:tblGrid>
      <w:tr w:rsidR="00565DE1" w:rsidTr="00565DE1">
        <w:tc>
          <w:tcPr>
            <w:tcW w:w="4785" w:type="dxa"/>
            <w:vAlign w:val="center"/>
            <w:hideMark/>
          </w:tcPr>
          <w:p w:rsidR="00565DE1" w:rsidRDefault="00565DE1" w:rsidP="00565DE1">
            <w:pPr>
              <w:pStyle w:val="a7"/>
              <w:ind w:firstLine="0"/>
              <w:jc w:val="left"/>
              <w:rPr>
                <w:b/>
              </w:rPr>
            </w:pPr>
            <w:r>
              <w:rPr>
                <w:b/>
              </w:rPr>
              <w:t>Начальник финансового управления</w:t>
            </w:r>
          </w:p>
          <w:p w:rsidR="00565DE1" w:rsidRDefault="00565DE1" w:rsidP="00565DE1">
            <w:pPr>
              <w:pStyle w:val="a7"/>
              <w:ind w:firstLine="0"/>
              <w:jc w:val="left"/>
              <w:rPr>
                <w:b/>
              </w:rPr>
            </w:pPr>
            <w:r>
              <w:rPr>
                <w:b/>
              </w:rPr>
              <w:t>администрации Фурмановского муниципального района</w:t>
            </w:r>
          </w:p>
        </w:tc>
        <w:tc>
          <w:tcPr>
            <w:tcW w:w="5529" w:type="dxa"/>
          </w:tcPr>
          <w:p w:rsidR="00565DE1" w:rsidRDefault="00565DE1">
            <w:pPr>
              <w:pStyle w:val="a7"/>
              <w:ind w:firstLine="0"/>
              <w:jc w:val="right"/>
              <w:rPr>
                <w:b/>
              </w:rPr>
            </w:pPr>
          </w:p>
          <w:p w:rsidR="00565DE1" w:rsidRDefault="00565DE1">
            <w:pPr>
              <w:pStyle w:val="a7"/>
              <w:ind w:firstLine="0"/>
              <w:jc w:val="right"/>
              <w:rPr>
                <w:b/>
              </w:rPr>
            </w:pPr>
          </w:p>
          <w:p w:rsidR="00565DE1" w:rsidRDefault="00565DE1">
            <w:pPr>
              <w:pStyle w:val="a7"/>
              <w:ind w:firstLine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М.Е.Голубева</w:t>
            </w:r>
            <w:proofErr w:type="spellEnd"/>
          </w:p>
        </w:tc>
      </w:tr>
    </w:tbl>
    <w:p w:rsidR="00565DE1" w:rsidRDefault="00565DE1" w:rsidP="00565DE1"/>
    <w:p w:rsidR="00565DE1" w:rsidRDefault="00565DE1" w:rsidP="00565DE1">
      <w:pPr>
        <w:rPr>
          <w:sz w:val="24"/>
          <w:szCs w:val="24"/>
        </w:rPr>
      </w:pPr>
    </w:p>
    <w:p w:rsidR="00A75A78" w:rsidRDefault="00A75A78" w:rsidP="00087382">
      <w:pPr>
        <w:jc w:val="center"/>
        <w:sectPr w:rsidR="00A75A78" w:rsidSect="00565D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968"/>
        <w:gridCol w:w="4603"/>
      </w:tblGrid>
      <w:tr w:rsidR="00A75A78" w:rsidRPr="00394518" w:rsidTr="006814EF">
        <w:tc>
          <w:tcPr>
            <w:tcW w:w="4968" w:type="dxa"/>
          </w:tcPr>
          <w:p w:rsidR="00A75A78" w:rsidRPr="00394518" w:rsidRDefault="00A75A78" w:rsidP="00681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</w:tcPr>
          <w:p w:rsidR="00394518" w:rsidRPr="00394518" w:rsidRDefault="00A75A78" w:rsidP="00394518">
            <w:pPr>
              <w:jc w:val="right"/>
              <w:rPr>
                <w:sz w:val="24"/>
                <w:szCs w:val="24"/>
              </w:rPr>
            </w:pPr>
            <w:r w:rsidRPr="00394518">
              <w:rPr>
                <w:sz w:val="24"/>
                <w:szCs w:val="24"/>
              </w:rPr>
              <w:t xml:space="preserve">                         </w:t>
            </w:r>
            <w:r w:rsidR="00394518" w:rsidRPr="00394518">
              <w:rPr>
                <w:sz w:val="24"/>
                <w:szCs w:val="24"/>
              </w:rPr>
              <w:t xml:space="preserve">Приложение </w:t>
            </w:r>
          </w:p>
          <w:p w:rsidR="00A75A78" w:rsidRPr="00394518" w:rsidRDefault="00394518" w:rsidP="00394518">
            <w:pPr>
              <w:jc w:val="right"/>
              <w:rPr>
                <w:sz w:val="24"/>
                <w:szCs w:val="24"/>
              </w:rPr>
            </w:pPr>
            <w:r w:rsidRPr="00394518">
              <w:rPr>
                <w:sz w:val="24"/>
                <w:szCs w:val="24"/>
              </w:rPr>
              <w:t xml:space="preserve">к </w:t>
            </w:r>
            <w:r w:rsidR="00A75A78" w:rsidRPr="00394518">
              <w:rPr>
                <w:sz w:val="24"/>
                <w:szCs w:val="24"/>
              </w:rPr>
              <w:t>Приказ</w:t>
            </w:r>
            <w:r w:rsidRPr="00394518">
              <w:rPr>
                <w:sz w:val="24"/>
                <w:szCs w:val="24"/>
              </w:rPr>
              <w:t>у</w:t>
            </w:r>
            <w:r w:rsidR="00A75A78" w:rsidRPr="00394518">
              <w:rPr>
                <w:sz w:val="24"/>
                <w:szCs w:val="24"/>
              </w:rPr>
              <w:t xml:space="preserve"> финансового управления администрации Фурмановского муниципального района                              от 03.03.2020  г. № 29</w:t>
            </w:r>
          </w:p>
          <w:p w:rsidR="00A75A78" w:rsidRPr="00394518" w:rsidRDefault="00A75A78" w:rsidP="006814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5A78" w:rsidRPr="00394518" w:rsidRDefault="00A75A78" w:rsidP="00A75A78">
      <w:pPr>
        <w:jc w:val="center"/>
        <w:rPr>
          <w:b/>
          <w:sz w:val="24"/>
          <w:szCs w:val="24"/>
        </w:rPr>
      </w:pPr>
    </w:p>
    <w:p w:rsidR="00A75A78" w:rsidRPr="00394518" w:rsidRDefault="00A75A78" w:rsidP="00A75A78">
      <w:pPr>
        <w:jc w:val="center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 xml:space="preserve">Порядок </w:t>
      </w:r>
    </w:p>
    <w:p w:rsidR="00A75A78" w:rsidRPr="00394518" w:rsidRDefault="00A75A78" w:rsidP="00A75A78">
      <w:pPr>
        <w:jc w:val="both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>составления и ведения кассового плана исполнения бюджета Фурмановского муниципального района и бюджета Фурмановского городского поселения</w:t>
      </w:r>
    </w:p>
    <w:p w:rsidR="00A75A78" w:rsidRPr="00394518" w:rsidRDefault="00A75A78" w:rsidP="00A75A78">
      <w:pPr>
        <w:jc w:val="both"/>
        <w:rPr>
          <w:sz w:val="24"/>
          <w:szCs w:val="24"/>
        </w:rPr>
      </w:pPr>
    </w:p>
    <w:p w:rsidR="00A75A78" w:rsidRPr="00394518" w:rsidRDefault="00A75A78" w:rsidP="00A75A78">
      <w:pPr>
        <w:ind w:left="360"/>
        <w:jc w:val="center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>1. Общие положения</w:t>
      </w:r>
    </w:p>
    <w:p w:rsidR="00A75A78" w:rsidRPr="00394518" w:rsidRDefault="00A75A78" w:rsidP="00A75A78">
      <w:pPr>
        <w:jc w:val="center"/>
        <w:rPr>
          <w:sz w:val="24"/>
          <w:szCs w:val="24"/>
        </w:rPr>
      </w:pP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 xml:space="preserve">1.1. </w:t>
      </w:r>
      <w:proofErr w:type="gramStart"/>
      <w:r w:rsidRPr="00394518">
        <w:rPr>
          <w:sz w:val="24"/>
          <w:szCs w:val="24"/>
        </w:rPr>
        <w:t>Настоящий порядок разработан на основании статьи 217.1 Бюджетного кодекса Российской Федерации и определяет правила составления и ведения кассового плана  бюджета Фурмановского муниципального района и бюджета Фурмановского городского поселения (далее – кассовый план, местные бюджеты), а также устанавливает состав и сроки представления главными администраторами доходов местных бюджетов, главными администраторами источников финансирования дефицита местных бюджетов, главными распорядителями средств местных бюджетов (далее – главные администраторы</w:t>
      </w:r>
      <w:proofErr w:type="gramEnd"/>
      <w:r w:rsidRPr="00394518">
        <w:rPr>
          <w:sz w:val="24"/>
          <w:szCs w:val="24"/>
        </w:rPr>
        <w:t xml:space="preserve"> бюджетных средств) сведений, необходимых для составления и ведения кассового плана.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 xml:space="preserve">1.2. </w:t>
      </w:r>
      <w:proofErr w:type="gramStart"/>
      <w:r w:rsidRPr="00394518">
        <w:rPr>
          <w:sz w:val="24"/>
          <w:szCs w:val="24"/>
        </w:rPr>
        <w:t>Кассовый план составляется финансовым управлением администрации Фурмановского муниципального района (далее – Управлением) на текущий финансовый год в разрезе кварталов с помесячной детализацией первого квартала, в течение двадцати пяти рабочих дней после принятия решений Советов Фурмановского муниципального района и Фурмановского городского поселений о местных бюджетах на очередной финансовый год и на плановый период (далее – решение о местном бюджете).</w:t>
      </w:r>
      <w:proofErr w:type="gramEnd"/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Кассовый план на предстоящий квартал детализируется помесячно с учетом фактического исполнения кассового плана за истекший квартал и утверждается не позднее пяти рабочих дней после начала квартала.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1.3. Кассовый план составляется и ведется управлением в электронном виде в программном комплексе «</w:t>
      </w:r>
      <w:proofErr w:type="spellStart"/>
      <w:r w:rsidRPr="00394518">
        <w:rPr>
          <w:sz w:val="24"/>
          <w:szCs w:val="24"/>
        </w:rPr>
        <w:t>Бюджет-СМАРТ</w:t>
      </w:r>
      <w:proofErr w:type="spellEnd"/>
      <w:r w:rsidRPr="00394518">
        <w:rPr>
          <w:sz w:val="24"/>
          <w:szCs w:val="24"/>
        </w:rPr>
        <w:t>».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1.4. Кассовый план утверждается начальником Управления на бумажном носителе по форме согласно приложению 1 к настоящему Порядку.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</w:p>
    <w:p w:rsidR="00A75A78" w:rsidRPr="00394518" w:rsidRDefault="00A75A78" w:rsidP="00A75A78">
      <w:pPr>
        <w:ind w:firstLine="360"/>
        <w:jc w:val="center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>2. Состав кассового плана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2.1. Кассовый план составляется Управлением по форме согласно приложению 1 к настоящему Порядку.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2.2. В кассовый план включаются: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поступлений в местный бюджет;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выплат из местного бюджета;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поступлений в местный бюджет и кассовых выплат из местного бюджета по источникам финансирования дефицита местного бюджета.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</w:p>
    <w:p w:rsidR="00A75A78" w:rsidRPr="00394518" w:rsidRDefault="00A75A78" w:rsidP="00A75A78">
      <w:pPr>
        <w:ind w:firstLine="360"/>
        <w:jc w:val="center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>3. Порядок составления прогноза кассовых поступлений и прогноза кассовых выплат, в том числе по источникам финансирования дефицита местного бюджета</w:t>
      </w:r>
    </w:p>
    <w:p w:rsidR="00A75A78" w:rsidRPr="00394518" w:rsidRDefault="00A75A78" w:rsidP="00A75A78">
      <w:pPr>
        <w:ind w:firstLine="360"/>
        <w:jc w:val="center"/>
        <w:rPr>
          <w:b/>
          <w:sz w:val="24"/>
          <w:szCs w:val="24"/>
        </w:rPr>
      </w:pP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 xml:space="preserve">3.1. Прогноз кассовых поступлений в местный бюджет формируется главными администраторами бюджетных средств помесячно в соответствии с решением о местном бюджете в разрезе кодов доходов, с указанием кодов цели по средствам областного и </w:t>
      </w:r>
      <w:r w:rsidRPr="00394518">
        <w:rPr>
          <w:sz w:val="24"/>
          <w:szCs w:val="24"/>
        </w:rPr>
        <w:lastRenderedPageBreak/>
        <w:t>федерального бюджета, по форме согласно приложению 2 к настоящему Порядку с учетом особенностей, установленных настоящим пунктом.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proofErr w:type="gramStart"/>
      <w:r w:rsidRPr="00394518">
        <w:rPr>
          <w:sz w:val="24"/>
          <w:szCs w:val="24"/>
        </w:rPr>
        <w:t>При планировании кассовых поступлений по межбюджетным трансфертам из областного бюджета в местный бюджет в пределах суммы, необходимой для оплаты денежных обязательств получателя средств местного бюджета, прогноз кассовых поступлений по межбюджетным трансфертам из областного бюджета, имеющим целевое назначение, должен совпадать помесячно с прогнозом кассовых выплат, источником финансового обеспечения которых являются указанные межбюджетные трансферты (за исключением субсидий, иных межбюджетных трансфертов).</w:t>
      </w:r>
      <w:proofErr w:type="gramEnd"/>
      <w:r w:rsidRPr="00394518">
        <w:rPr>
          <w:sz w:val="24"/>
          <w:szCs w:val="24"/>
        </w:rPr>
        <w:t xml:space="preserve"> Прогноз кассовых выплат по расходам, софинансируемым за счет средств областного бюджета, может превышать прогноз кассовых поступлений по соответствующим субсидиям, иным межбюджетным трансфертам, на сумму средств местного бюджета.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3.2. Прогноз кассовых выплат формируется главными администраторами бюджетных средств в соответствии со сводной бюджетной росписью по форме согласно приложению 3 к настоящему Порядку, с учетом следующих особенностей:</w:t>
      </w:r>
    </w:p>
    <w:p w:rsidR="00A75A78" w:rsidRPr="00394518" w:rsidRDefault="00A75A78" w:rsidP="00A75A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выплат на оплату муниципальных контрактов, иных договоров формируется главными администраторами бюджетных средств с учетом определенных планом-графиком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договорам;</w:t>
      </w:r>
    </w:p>
    <w:p w:rsidR="00A75A78" w:rsidRPr="00394518" w:rsidRDefault="00A75A78" w:rsidP="00A75A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выплат по расходам на перечисление субсидий, иных межбюджетных трансфертов другим бюджетам бюджетной системы, юридическим лицам (за исключением субсидий муниципальным учреждениям) бюджетных инвестиций до постановки на учет в Управлении Федерального казначейства по Ивановской области (далее - УФК) соответствующих бюджетных обязатель</w:t>
      </w:r>
      <w:proofErr w:type="gramStart"/>
      <w:r w:rsidRPr="00394518">
        <w:rPr>
          <w:sz w:val="24"/>
          <w:szCs w:val="24"/>
        </w:rPr>
        <w:t>ств пл</w:t>
      </w:r>
      <w:proofErr w:type="gramEnd"/>
      <w:r w:rsidRPr="00394518">
        <w:rPr>
          <w:sz w:val="24"/>
          <w:szCs w:val="24"/>
        </w:rPr>
        <w:t xml:space="preserve">анируются главным администратором бюджетных средств на декабрь финансового года. </w:t>
      </w:r>
      <w:proofErr w:type="gramStart"/>
      <w:r w:rsidRPr="00394518">
        <w:rPr>
          <w:sz w:val="24"/>
          <w:szCs w:val="24"/>
        </w:rPr>
        <w:t>Внесение изменений в прогноз кассовых выплат по указанным расходам в части их переноса на более ранний срок осуществляется главным администратором бюджетных средств не позднее пяти рабочих дней после постановки на учет бюджетного обязательства в УФК, с учетом графика оплаты или иного основания, подтверждающего срок оплаты бюджетного обязательства в соответствующем периоде, но не чаще двух раз в месяц по одной целевой</w:t>
      </w:r>
      <w:proofErr w:type="gramEnd"/>
      <w:r w:rsidRPr="00394518">
        <w:rPr>
          <w:sz w:val="24"/>
          <w:szCs w:val="24"/>
        </w:rPr>
        <w:t xml:space="preserve"> статье;</w:t>
      </w:r>
    </w:p>
    <w:p w:rsidR="00A75A78" w:rsidRPr="00394518" w:rsidRDefault="00A75A78" w:rsidP="00A75A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>- прогноз кассовых выплат по остальным видам расходов формируется главным администратором бюджетных средств с учетом ожидаемого возникновения сроков оплаты денежных обязательств в соответствии с правовыми актами и иными документами, а также с учетом обоснованных предложений подведомственных получателей бюджетных средств.</w:t>
      </w:r>
    </w:p>
    <w:p w:rsidR="00A75A78" w:rsidRPr="00394518" w:rsidRDefault="00A75A78" w:rsidP="00A75A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 xml:space="preserve">3.3. </w:t>
      </w:r>
      <w:hyperlink r:id="rId4" w:history="1">
        <w:proofErr w:type="gramStart"/>
        <w:r w:rsidRPr="00394518">
          <w:rPr>
            <w:sz w:val="24"/>
            <w:szCs w:val="24"/>
          </w:rPr>
          <w:t>Прогноз</w:t>
        </w:r>
      </w:hyperlink>
      <w:r w:rsidRPr="00394518">
        <w:rPr>
          <w:sz w:val="24"/>
          <w:szCs w:val="24"/>
        </w:rPr>
        <w:t xml:space="preserve"> кассовых поступлений в местный бюджет и кассовых выплат из местного бюджета по источникам финансирования дефицита местного бюджета, за исключением получения заемных средств, формируется главными администраторами бюджетных средств помесячно в соответствии со сводной бюджетной росписью по источникам финансирования дефицита бюджета с учетом сроков оплаты долговых обязательств, установленных муниципальными контрактами, соглашениями о предоставлении заемных средств местному бюджету, по форме согласно приложению</w:t>
      </w:r>
      <w:proofErr w:type="gramEnd"/>
      <w:r w:rsidRPr="00394518">
        <w:rPr>
          <w:sz w:val="24"/>
          <w:szCs w:val="24"/>
        </w:rPr>
        <w:t xml:space="preserve"> 4 к настоящему Порядку.</w:t>
      </w:r>
    </w:p>
    <w:p w:rsidR="00A75A78" w:rsidRPr="00394518" w:rsidRDefault="00A75A78" w:rsidP="00A75A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4518">
        <w:rPr>
          <w:sz w:val="24"/>
          <w:szCs w:val="24"/>
        </w:rPr>
        <w:t xml:space="preserve">Прогноз кассовых поступлений по источникам финансирования дефицита бюджета в части привлечения заемных средств формируется в соответствии с </w:t>
      </w:r>
      <w:hyperlink r:id="rId5" w:history="1">
        <w:r w:rsidRPr="00394518">
          <w:rPr>
            <w:sz w:val="24"/>
            <w:szCs w:val="24"/>
          </w:rPr>
          <w:t>разделом 5</w:t>
        </w:r>
      </w:hyperlink>
      <w:r w:rsidRPr="00394518">
        <w:rPr>
          <w:sz w:val="24"/>
          <w:szCs w:val="24"/>
        </w:rPr>
        <w:t xml:space="preserve"> настоящего Порядка.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</w:p>
    <w:p w:rsidR="00A75A78" w:rsidRPr="00394518" w:rsidRDefault="00A75A78" w:rsidP="00A75A78">
      <w:pPr>
        <w:ind w:left="360"/>
        <w:jc w:val="center"/>
        <w:rPr>
          <w:b/>
          <w:sz w:val="24"/>
          <w:szCs w:val="24"/>
        </w:rPr>
      </w:pPr>
      <w:r w:rsidRPr="00394518">
        <w:rPr>
          <w:b/>
          <w:sz w:val="24"/>
          <w:szCs w:val="24"/>
        </w:rPr>
        <w:t xml:space="preserve">4. Порядок составления кассового плана местного бюджета </w:t>
      </w:r>
    </w:p>
    <w:p w:rsidR="00A75A78" w:rsidRPr="00394518" w:rsidRDefault="00A75A78" w:rsidP="00A75A78">
      <w:pPr>
        <w:ind w:left="360"/>
        <w:jc w:val="center"/>
        <w:rPr>
          <w:sz w:val="24"/>
          <w:szCs w:val="24"/>
        </w:rPr>
      </w:pP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4.1. Главные администраторы бюджетных средств, за исключением территориальных </w:t>
      </w:r>
      <w:r w:rsidRPr="00394518">
        <w:rPr>
          <w:rFonts w:ascii="Times New Roman" w:hAnsi="Times New Roman" w:cs="Times New Roman"/>
          <w:sz w:val="24"/>
          <w:szCs w:val="24"/>
        </w:rPr>
        <w:lastRenderedPageBreak/>
        <w:t>органов федеральных органов исполнительной власти, органов местного самоуправления поселений Фурмановского муниципального района, в течение десяти рабочих дней после дня официального опубликования решения о местном бюджете представляют с разбивкой по месяцам: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прогноз поступлений налоговых и неналоговых доходов в местный бюджет;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прогноз безвозмездных поступлений в местный бюджет;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прогноз кассовых выплат из местного бюджета;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прогноз кассовых поступлений в местный бюджет и кассовых выплат из местного бюджета по источникам финансирования дефицита местного бюджета.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Территориальные органы федеральных органов исполнительной власти представляют </w:t>
      </w:r>
      <w:hyperlink w:anchor="P589" w:history="1">
        <w:r w:rsidRPr="00394518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кассовых поступлений в местный бюджет по администрируемым доходам на бумажном носителе по форме согласно приложению 2 к настоящему Порядку.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Структурные подразделения Управления (далее - отделы) в течение трех рабочих дней рассматривают представленные сведения (далее - сведения) по курируемым направлениям на предмет оптимального распределения по году кассовых поступлений и выплат, в т.ч. по источникам финансирования дефицита бюджета: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отдел доходов и расходов производственной сферы - прогноз поступлений налоговых и неналоговых доходов, а также безвозмездных поступлений в местный бюджет;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бюджетный отдел - прогноз кассовых выплат из местного бюджета;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отдел доходов и расходов производственной сферы - прогноз кассовых поступлений в местный бюджет и выплат из местного бюджета по источникам финансирования дефицита бюджета.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При согласовании представленных сведений соответствующим отделом на сведениях  делается отметка «Проверено: (наименование отдела)». При наличии замечаний к представленным сведениям соответствующим отделом на сведениях делается отметка «Забраковано».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Главный администратор бюджетных сре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>ечение одного рабочего дня устраняет имеющиеся замечания и повторно представляет сведения в Управление.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Отдел доходов и расходов производственной сферы осуществляет введение в программный комплекс Управления данных, представленных главными администраторами доходов местного бюджета, территориальными органами федеральных органов исполнительной власти Российской Федерации для формирования прогноза кассовых поступлений налоговых и неналоговых доходов в местный бюджет.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4.2. Управление на основании проверенных сведений формирует сводный прогноз кассовых поступлений в местный бюджет, кассовых выплат из местного бюджета, кассовых поступлений в местный бюджет и выплат из местного бюджета и источникам финансирования дефицита местного бюджета в разрезе кварталов с помесячной детализацией первого квартала и выявляет периоды возникновения кассовых разрывов.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394518">
        <w:rPr>
          <w:rFonts w:ascii="Times New Roman" w:hAnsi="Times New Roman" w:cs="Times New Roman"/>
          <w:sz w:val="24"/>
          <w:szCs w:val="24"/>
        </w:rPr>
        <w:t>5. Сбалансированность кассового плана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 w:rsidRPr="00394518">
        <w:rPr>
          <w:rFonts w:ascii="Times New Roman" w:hAnsi="Times New Roman" w:cs="Times New Roman"/>
          <w:sz w:val="24"/>
          <w:szCs w:val="24"/>
        </w:rPr>
        <w:t>5.1. В случае возникновения кассовых разрывов бюджетный отдел использует финансовый резерв для покрытия временных кассовых разрывов в объеме, предусмотренном решением о местном бюджете.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5.2. При недостаточности мер для устранения временных кассовых разрывов, указанных в </w:t>
      </w:r>
      <w:hyperlink w:anchor="P121" w:history="1">
        <w:r w:rsidRPr="00394518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настоящего Порядка, отдел доходов и расходов производственной сферы в течение одного рабочего дня формирует прогноз привлечения заемных средств и представляет его на согласование начальнику Управления.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394518">
        <w:rPr>
          <w:rFonts w:ascii="Times New Roman" w:hAnsi="Times New Roman" w:cs="Times New Roman"/>
          <w:sz w:val="24"/>
          <w:szCs w:val="24"/>
        </w:rPr>
        <w:t xml:space="preserve">5.3. В случае невозможности устранения временного кассового разрыва в соответствии с согласованным прогнозом привлечения заемных средств бюджетный отдел осуществляет забраковку ранее согласованных прогнозов кассовых выплат, и по </w:t>
      </w:r>
      <w:r w:rsidRPr="00394518">
        <w:rPr>
          <w:rFonts w:ascii="Times New Roman" w:hAnsi="Times New Roman" w:cs="Times New Roman"/>
          <w:sz w:val="24"/>
          <w:szCs w:val="24"/>
        </w:rPr>
        <w:lastRenderedPageBreak/>
        <w:t>согласованию с главными администраторами бюджетных средств рассматривает возможность переноса части расходов на более поздний период. Главные администраторы бюджетных сре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ечение одного рабочего дня устраняют имеющиеся замечания и повторно представляют сведения. Бюджетный отдел осуществляет рассмотрение и согласование представленных сведений в течение двух рабочих дней по курируемым направлениям в соответствии </w:t>
      </w:r>
      <w:hyperlink w:anchor="P98" w:history="1">
        <w:r w:rsidRPr="00394518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 w:rsidRPr="00394518">
        <w:rPr>
          <w:rFonts w:ascii="Times New Roman" w:hAnsi="Times New Roman" w:cs="Times New Roman"/>
          <w:sz w:val="24"/>
          <w:szCs w:val="24"/>
        </w:rPr>
        <w:t xml:space="preserve">5.4. При недостаточности мер, указанных в </w:t>
      </w:r>
      <w:hyperlink w:anchor="P123" w:history="1">
        <w:r w:rsidRPr="00394518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настоящего Порядка, для организации исполнения местного бюджета устанавливаются предельные объемы оплаты денежных обязательств на соответствующий период финансового года в порядке, утвержденном Управлением.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В случае установления предельных объемов оплаты денежных обязательств бюджетный отдел приводит показатели кассового плана по расходам в соответствие с показателями кассового плана по доходам.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5.5. Бюджетный отдел в течение одного рабочего дня после осуществления балансировки составляет проект кассового </w:t>
      </w:r>
      <w:hyperlink w:anchor="P208" w:history="1">
        <w:r w:rsidRPr="00394518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и направляет на утверждение начальнику Управления.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6. Уточнение кассового плана с учетом</w:t>
      </w:r>
    </w:p>
    <w:p w:rsidR="00A75A78" w:rsidRPr="00394518" w:rsidRDefault="00A75A78" w:rsidP="00A75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фактического исполнения за квартал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6.1. Отделы в течение трех рабочих дней наступившего квартала уточняют кассовый план за истекший квартал с учетом фактического исполнения по доходам, фактического доведения предельных объемов финансирования по расходам, фактических поступлений и выплат по источникам финансирования дефицита местного бюджета с отнесением отклонений по показателям кассового плана на декабрь.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6.2. При отклонении фактических кассовых поступлений и кассовых выплат по источникам финансирования дефицита местного бюджета от запланированных, производится перераспределение источников финансирования дефицита в целях достижения их оптимального использования и снижения расходов на обслуживание муниципального долга.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7. Внесение изменений в кассовый план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2"/>
      <w:bookmarkEnd w:id="4"/>
      <w:r w:rsidRPr="00394518">
        <w:rPr>
          <w:rFonts w:ascii="Times New Roman" w:hAnsi="Times New Roman" w:cs="Times New Roman"/>
          <w:sz w:val="24"/>
          <w:szCs w:val="24"/>
        </w:rPr>
        <w:t>7.1. В кассовый план могут быть внесены изменения в следующих случаях с соответствующей отметкой: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3"/>
      <w:bookmarkEnd w:id="5"/>
      <w:r w:rsidRPr="00394518">
        <w:rPr>
          <w:rFonts w:ascii="Times New Roman" w:hAnsi="Times New Roman" w:cs="Times New Roman"/>
          <w:sz w:val="24"/>
          <w:szCs w:val="24"/>
        </w:rPr>
        <w:t>а) внесение изменений в решения о местных бюджетах – «Решение с номером и датой»;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 w:rsidRPr="00394518">
        <w:rPr>
          <w:rFonts w:ascii="Times New Roman" w:hAnsi="Times New Roman" w:cs="Times New Roman"/>
          <w:sz w:val="24"/>
          <w:szCs w:val="24"/>
        </w:rPr>
        <w:t>б) внесение изменений в сводную бюджетную роспись: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в пределах средств, выделяемых главному распорядителю средств местного бюджета, - «Изменение СБР»;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в случае предоставления межбюджетных трансфертов, поступивших из областного бюджета, но не предусмотренных решением о местном бюджете или утвержденных решением о местном бюджете в меньшем объеме, - «Не предусмотрены решением о бюджете»;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7"/>
      <w:bookmarkEnd w:id="7"/>
      <w:r w:rsidRPr="00394518">
        <w:rPr>
          <w:rFonts w:ascii="Times New Roman" w:hAnsi="Times New Roman" w:cs="Times New Roman"/>
          <w:sz w:val="24"/>
          <w:szCs w:val="24"/>
        </w:rPr>
        <w:t>в) при необходимости переноса (перераспределения) выплат по средствам областного бюджета на более ранний срок в связи с доведением предельных объемов финансирования – «Изменение ОС»;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394518">
        <w:rPr>
          <w:rFonts w:ascii="Times New Roman" w:hAnsi="Times New Roman" w:cs="Times New Roman"/>
          <w:sz w:val="24"/>
          <w:szCs w:val="24"/>
        </w:rPr>
        <w:t>г) при необходимости перераспределения объема кассовых выплат, не влекущих изменений утвержденного объема расходов в разрезе месяцев по главному администратору бюджетных средств (раздельно по областным средствам и по местным средствам) - «Изменение»;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9"/>
      <w:bookmarkEnd w:id="9"/>
      <w:proofErr w:type="spellStart"/>
      <w:r w:rsidRPr="003945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94518">
        <w:rPr>
          <w:rFonts w:ascii="Times New Roman" w:hAnsi="Times New Roman" w:cs="Times New Roman"/>
          <w:sz w:val="24"/>
          <w:szCs w:val="24"/>
        </w:rPr>
        <w:t xml:space="preserve">) при необходимости переноса (перераспределения) в пределах утвержденного </w:t>
      </w:r>
      <w:r w:rsidRPr="00394518">
        <w:rPr>
          <w:rFonts w:ascii="Times New Roman" w:hAnsi="Times New Roman" w:cs="Times New Roman"/>
          <w:sz w:val="24"/>
          <w:szCs w:val="24"/>
        </w:rPr>
        <w:lastRenderedPageBreak/>
        <w:t>годового объема выплат по источникам финансирования дефицита местного бюджета;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 w:rsidRPr="00394518">
        <w:rPr>
          <w:rFonts w:ascii="Times New Roman" w:hAnsi="Times New Roman" w:cs="Times New Roman"/>
          <w:sz w:val="24"/>
          <w:szCs w:val="24"/>
        </w:rPr>
        <w:t xml:space="preserve">е) при необходимости увеличения и (или) перераспределения прогноза кассовых выплат ввиду недостаточности запланированных объемов кассовых выплат для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принимаемых (принятых) бюджетных обязательств – «Изменение прогноза КВ»;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1"/>
      <w:bookmarkEnd w:id="11"/>
      <w:r w:rsidRPr="00394518">
        <w:rPr>
          <w:rFonts w:ascii="Times New Roman" w:hAnsi="Times New Roman" w:cs="Times New Roman"/>
          <w:sz w:val="24"/>
          <w:szCs w:val="24"/>
        </w:rPr>
        <w:t>ж) после постановки на учет бюджетного обязательства в УФК по расходам на перечисление субсидий, иных межбюджетных трансфертов другим бюджетам бюджетной системы, юридическим лицам (за исключением субсидий муниципальным учреждениям), бюджетных инвестиций – «Изменение п. 3.2»;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51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94518">
        <w:rPr>
          <w:rFonts w:ascii="Times New Roman" w:hAnsi="Times New Roman" w:cs="Times New Roman"/>
          <w:sz w:val="24"/>
          <w:szCs w:val="24"/>
        </w:rPr>
        <w:t xml:space="preserve">) в случае принятия решения о выделении бюджетных средств из резервного фонда администрации Фурмановского муниципального района – «Изменение РФА». 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7.2. Главные администраторы бюджетных средств, за исключением территориальных органов федеральных органов исполнительной власти, представляют в соответствующих формах справки об изменениях прогноза кассовых поступлений в местный бюджет, кассовых выплат из местного бюджета, кассовых поступлений и выплат по источникам финансирования дефицита местного бюджета:</w:t>
      </w:r>
    </w:p>
    <w:p w:rsidR="00A75A78" w:rsidRPr="00394518" w:rsidRDefault="00A75A78" w:rsidP="00A75A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в течение пяти рабочих дней после дня официального опубликования решения о внесении изменений в решение о местном бюджете;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в течение трех рабочих дней после дня утверждения изменений сводной бюджетной росписи;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месяца в случаях, указанных в </w:t>
      </w:r>
      <w:hyperlink w:anchor="P147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1" w:history="1">
        <w:r w:rsidRPr="00394518">
          <w:rPr>
            <w:rFonts w:ascii="Times New Roman" w:hAnsi="Times New Roman" w:cs="Times New Roman"/>
            <w:sz w:val="24"/>
            <w:szCs w:val="24"/>
          </w:rPr>
          <w:t>"ж"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Территориальные органы федеральных органов исполнительной власти представляют в указанные сроки </w:t>
      </w:r>
      <w:hyperlink w:anchor="P808" w:history="1">
        <w:r w:rsidRPr="00394518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об изменении прогноза поступлений налоговых и неналоговых доходов на бумажном носителе и в электронном виде на адрес электронной почты </w:t>
      </w:r>
      <w:hyperlink r:id="rId6" w:history="1">
        <w:r w:rsidRPr="003945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fofurmanov</w:t>
        </w:r>
        <w:r w:rsidRPr="0039451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945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945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451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настоящему Порядку.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При внесении изменений в прогноз кассового плана по средствам областного бюджета справки об изменении прогноза кассового плана направляются по поступлениям и выплатам одновременно.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Отдел доходов и расходов производственной сферы осуществляет введение в программный комплекс Управления данных, представленных главными администраторами доходов местного бюджета - территориальными органами федеральных органов исполнительной власти Российской Федерации, для формирования изменений прогноза кассовых поступлений налоговых и неналоговых доходов в местный бюджет.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18">
        <w:rPr>
          <w:rFonts w:ascii="Times New Roman" w:hAnsi="Times New Roman" w:cs="Times New Roman"/>
          <w:sz w:val="24"/>
          <w:szCs w:val="24"/>
        </w:rPr>
        <w:t xml:space="preserve">При внесении изменений в кассовый план выплат в соответствии с </w:t>
      </w:r>
      <w:hyperlink w:anchor="P142" w:history="1">
        <w:r w:rsidRPr="00394518">
          <w:rPr>
            <w:rFonts w:ascii="Times New Roman" w:hAnsi="Times New Roman" w:cs="Times New Roman"/>
            <w:sz w:val="24"/>
            <w:szCs w:val="24"/>
          </w:rPr>
          <w:t>пунктом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в части расходов, осуществляемых за счет средств резервного фонда администрации Фурмановского муниципального района, и расходов на исполнение судебных актов по искам к казне Фурмановского муниципального района </w:t>
      </w:r>
      <w:hyperlink w:anchor="P881" w:history="1">
        <w:r w:rsidRPr="00394518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об изменении прогноза кассовых выплат составляются бюджетным отделом по форме согласно приложению 6 к настоящему Порядку.</w:t>
      </w:r>
      <w:proofErr w:type="gramEnd"/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Справки об изменении прогноза кассовых поступлений и выплат, в том числе по источникам финансирования дефицита бюджета, составляются главными администраторами бюджетных средств только по кодам бюджетной классификации, по которым внесены изменения и на сумму изменения.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Отделы Управления осуществляют рассмотрение и согласование представленных справок об изменении прогноза кассового плана в течение двух рабочих дней по курируемым направлениям в соответствии с </w:t>
      </w:r>
      <w:hyperlink w:anchor="P98" w:history="1">
        <w:r w:rsidRPr="00394518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Справки об изменении прогноза кассового плана проверяются отделами на соответствие положениям настоящего Порядка.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lastRenderedPageBreak/>
        <w:t xml:space="preserve">При нарушении главным администратором бюджетных средств положений, установленных </w:t>
      </w:r>
      <w:hyperlink w:anchor="P86" w:history="1">
        <w:r w:rsidRPr="00394518">
          <w:rPr>
            <w:rFonts w:ascii="Times New Roman" w:hAnsi="Times New Roman" w:cs="Times New Roman"/>
            <w:sz w:val="24"/>
            <w:szCs w:val="24"/>
          </w:rPr>
          <w:t>пунктами 3.2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" w:history="1">
        <w:r w:rsidRPr="00394518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4" w:history="1">
        <w:r w:rsidRPr="00394518">
          <w:rPr>
            <w:rFonts w:ascii="Times New Roman" w:hAnsi="Times New Roman" w:cs="Times New Roman"/>
            <w:sz w:val="24"/>
            <w:szCs w:val="24"/>
          </w:rPr>
          <w:t>7.4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настоящего Порядка, Управление отказывает во внесении изменений в кассовый план путем указания на справке отметки «Забракован» с указанием причины.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Отделы на основании проверенных справок об изменении прогноза кассового плана подготавливают докладную записку на имя начальника Управления в случаях, указанных в </w:t>
      </w:r>
      <w:hyperlink w:anchor="P147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394518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394518">
          <w:rPr>
            <w:rFonts w:ascii="Times New Roman" w:hAnsi="Times New Roman" w:cs="Times New Roman"/>
            <w:sz w:val="24"/>
            <w:szCs w:val="24"/>
          </w:rPr>
          <w:t>"ж"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7.3. При внесении изменений учитываются следующие особенности: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1) в случае, указанном в </w:t>
      </w:r>
      <w:hyperlink w:anchor="P143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"а"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, дополнительные объемы кассовых выплат в связи с вступлением в силу решения о внесении изменений в местный бюджет планируются главными администраторами бюджетных средств не ранее месяца, следующего за месяцем, в котором вступило в силу решение о внесении изменений в местный бюджет. При необходимости осуществления кассовых выплат в месяце, в котором вступило в силу решение о внесении изменений в местный бюджет, справка об изменении прогноза кассовых выплат составляется главным администратором бюджетных сре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>еделах ранее утвержденного объема кассовых выплат на соответствующий месяц. При недостаточности утвержденного объема кассовых выплат на соответствующий месяц главный администратор вправе направить обоснованное ходатайство об увеличении прогноза кассовых выплат в месяце, в котором вступило в силу решение о внесении изменений в местный бюджет;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18">
        <w:rPr>
          <w:rFonts w:ascii="Times New Roman" w:hAnsi="Times New Roman" w:cs="Times New Roman"/>
          <w:sz w:val="24"/>
          <w:szCs w:val="24"/>
        </w:rPr>
        <w:t xml:space="preserve">2) в случае, указанном в </w:t>
      </w:r>
      <w:hyperlink w:anchor="P144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"б"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, при внесении изменений в сводную бюджетную роспись, не влекущих изменения общего объема расходов по главному администратору бюджетных средств, главный администратор бюджетных средств вносит изменения в кассовый план в пределах утвержденных ему кассовых выплат с учетом планируемых сроков оплаты действующих на дату внесения изменений обязательств;</w:t>
      </w:r>
      <w:proofErr w:type="gramEnd"/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18">
        <w:rPr>
          <w:rFonts w:ascii="Times New Roman" w:hAnsi="Times New Roman" w:cs="Times New Roman"/>
          <w:sz w:val="24"/>
          <w:szCs w:val="24"/>
        </w:rPr>
        <w:t xml:space="preserve">3) в случае, указанном в </w:t>
      </w:r>
      <w:hyperlink w:anchor="P147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"в"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, в прогнозе кассовых поступлений указанные средства отражаются в периоде их фактического поступления из областного бюджета, в прогнозе кассовых выплат - в периодах планируемых кассовых выплат;</w:t>
      </w:r>
      <w:proofErr w:type="gramEnd"/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4) в случае, указанном в </w:t>
      </w:r>
      <w:hyperlink w:anchor="P148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"г"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, главный администратор бюджетных средств вносит изменения в кассовый план в пределах утвержденных ему кассовых выплат в разрезе месяцев, справки формируются раздельно по областным средствам и по местным средствам;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518">
        <w:rPr>
          <w:rFonts w:ascii="Times New Roman" w:hAnsi="Times New Roman" w:cs="Times New Roman"/>
          <w:sz w:val="24"/>
          <w:szCs w:val="24"/>
        </w:rPr>
        <w:t xml:space="preserve">5) в случае изменений, предусмотренных </w:t>
      </w:r>
      <w:hyperlink w:anchor="P149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подпунктом "</w:t>
        </w:r>
        <w:proofErr w:type="spellStart"/>
        <w:r w:rsidRPr="00394518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94518">
          <w:rPr>
            <w:rFonts w:ascii="Times New Roman" w:hAnsi="Times New Roman" w:cs="Times New Roman"/>
            <w:sz w:val="24"/>
            <w:szCs w:val="24"/>
          </w:rPr>
          <w:t>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отдел доходов и расходов производственной сферы Управления подготавливает служебную записку на имя начальника Управления и </w:t>
      </w:r>
      <w:hyperlink w:anchor="P966" w:history="1">
        <w:r w:rsidRPr="00394518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об изменении прогноза кассовых поступлений в местный бюджет и кассовых выплат из местного бюджета по источникам финансирования дефицита местного бюджета на сумму изменений по форме согласно приложению 7 к настоящему Порядку;</w:t>
      </w:r>
      <w:proofErr w:type="gramEnd"/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6) в случае, указанном в </w:t>
      </w:r>
      <w:hyperlink w:anchor="P150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"е"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при необходимости увеличения и (или) перераспределения прогноза кассовых выплат ввиду недостаточности запланированных объемов кассовых выплат для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принимаемых (принятых) бюджетных обязательств: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- главные администраторы бюджетных средств не чаще двух раз в квартал вправе обратиться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в Управление по вопросу увеличения прогноза кассовых выплат ввиду недостаточности запланированных объемов кассовых выплат на квартал для исполнения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принятых бюджетных обязательств. Объем увеличения кассовых выплат в обоих обращениях не должен превышать 3% от утвержденного на год объема кассовых выплат соответствующему главному администратору бюджетных средств.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394518">
        <w:rPr>
          <w:rFonts w:ascii="Times New Roman" w:hAnsi="Times New Roman" w:cs="Times New Roman"/>
          <w:sz w:val="24"/>
          <w:szCs w:val="24"/>
        </w:rPr>
        <w:t xml:space="preserve">7.4. Обоснованием изменений, предусмотренных в случаях, указанных в </w:t>
      </w:r>
      <w:hyperlink w:anchor="P147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394518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1" w:history="1">
        <w:r w:rsidRPr="00394518">
          <w:rPr>
            <w:rFonts w:ascii="Times New Roman" w:hAnsi="Times New Roman" w:cs="Times New Roman"/>
            <w:sz w:val="24"/>
            <w:szCs w:val="24"/>
          </w:rPr>
          <w:t>"ж"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, направляемых в Управление, являются: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- принятие и постановка на учет бюджетных обязательств в УФК (указывается </w:t>
      </w:r>
      <w:r w:rsidRPr="00394518">
        <w:rPr>
          <w:rFonts w:ascii="Times New Roman" w:hAnsi="Times New Roman" w:cs="Times New Roman"/>
          <w:sz w:val="24"/>
          <w:szCs w:val="24"/>
        </w:rPr>
        <w:lastRenderedPageBreak/>
        <w:t>номер);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изменение графика (условий) оплаты бюджетного обязательства;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- иные причины (обосновывающие документы), подтверждающие необходимость оплаты принятых бюджетных обязательств в соответствующем периоде.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Главные администраторы бюджетных сре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>икрепляют обращение к справкам об изменении прогноза кассового плана в программном комплексе Управления.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7.5. Утверждение изменений, внесенных в кассовый план, осуществляется: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1) начальником Управления по форме согласно </w:t>
      </w:r>
      <w:hyperlink w:anchor="P208" w:history="1">
        <w:r w:rsidRPr="00394518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к настоящему Порядку в электронном виде и на бумажном носителе в течение тринадцати рабочих дней после дня официального опубликования решения об изменении решения о местном бюджете в случае, указанном в </w:t>
      </w:r>
      <w:hyperlink w:anchor="P143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подпункте "а"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2) начальником бюджетного отдела путем указания на справке аналитического признака "Утверждено" в течение двух рабочих дней: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- после проверки отделами справки об изменении кассового плана в случаях, указанных в </w:t>
      </w:r>
      <w:hyperlink w:anchor="P144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8" w:history="1">
        <w:r w:rsidRPr="00394518">
          <w:rPr>
            <w:rFonts w:ascii="Times New Roman" w:hAnsi="Times New Roman" w:cs="Times New Roman"/>
            <w:sz w:val="24"/>
            <w:szCs w:val="24"/>
          </w:rPr>
          <w:t>"г"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;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- со дня согласования докладной записки начальником Управления в случаях, указанных в </w:t>
      </w:r>
      <w:hyperlink w:anchor="P123" w:history="1">
        <w:r w:rsidRPr="00394518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147" w:history="1">
        <w:r w:rsidRPr="00394518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394518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94518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94518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1" w:history="1">
        <w:r w:rsidRPr="00394518">
          <w:rPr>
            <w:rFonts w:ascii="Times New Roman" w:hAnsi="Times New Roman" w:cs="Times New Roman"/>
            <w:sz w:val="24"/>
            <w:szCs w:val="24"/>
          </w:rPr>
          <w:t>"ж" пункта 7.1</w:t>
        </w:r>
      </w:hyperlink>
      <w:r w:rsidRPr="00394518">
        <w:rPr>
          <w:rFonts w:ascii="Times New Roman" w:hAnsi="Times New Roman" w:cs="Times New Roman"/>
          <w:sz w:val="24"/>
          <w:szCs w:val="24"/>
        </w:rPr>
        <w:t>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8. Информационное взаимодействие Управления</w:t>
      </w:r>
    </w:p>
    <w:p w:rsidR="00A75A78" w:rsidRPr="00394518" w:rsidRDefault="00A75A78" w:rsidP="00A75A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и главных администраторов бюджетных средств</w:t>
      </w:r>
    </w:p>
    <w:p w:rsidR="00A75A78" w:rsidRPr="00394518" w:rsidRDefault="00A75A78" w:rsidP="00A75A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>8.1. Информационный обмен между Управлением и главными администраторами бюджетных средств (за исключением территориальных органов федеральных органов исполнительной власти, органов местного самоуправления поселений) осуществляется в программном комплексе Управления.</w:t>
      </w:r>
    </w:p>
    <w:p w:rsidR="00A75A78" w:rsidRPr="00394518" w:rsidRDefault="00A75A78" w:rsidP="00A75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518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При отсутствии возможности передачи сведений о прогнозе кассовых поступлений в бюджет, прогнозе кассовых выплат из бюджета, прогнозе кассовых поступлений и выплат из бюджета по источникам финансирования дефицита, справки об изменениях показателей кассового плана по доходам, расходам, источникам финансирования дефицита местного бюджета по каналам связи главный администратор бюджетных средств направляет их в Управление на бумажном и электронном носителях по формам согласно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</w:t>
      </w:r>
      <w:hyperlink w:anchor="P589" w:history="1">
        <w:r w:rsidRPr="00394518">
          <w:rPr>
            <w:rFonts w:ascii="Times New Roman" w:hAnsi="Times New Roman" w:cs="Times New Roman"/>
            <w:sz w:val="24"/>
            <w:szCs w:val="24"/>
          </w:rPr>
          <w:t>приложениям 2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6" w:history="1">
        <w:r w:rsidRPr="003945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394518">
        <w:rPr>
          <w:rFonts w:ascii="Times New Roman" w:hAnsi="Times New Roman" w:cs="Times New Roman"/>
          <w:sz w:val="24"/>
          <w:szCs w:val="24"/>
        </w:rPr>
        <w:t xml:space="preserve"> к настоящему Порядку, с объяснением </w:t>
      </w:r>
      <w:proofErr w:type="gramStart"/>
      <w:r w:rsidRPr="00394518">
        <w:rPr>
          <w:rFonts w:ascii="Times New Roman" w:hAnsi="Times New Roman" w:cs="Times New Roman"/>
          <w:sz w:val="24"/>
          <w:szCs w:val="24"/>
        </w:rPr>
        <w:t>причины отсутствия возможности передачи сведений</w:t>
      </w:r>
      <w:proofErr w:type="gramEnd"/>
      <w:r w:rsidRPr="00394518">
        <w:rPr>
          <w:rFonts w:ascii="Times New Roman" w:hAnsi="Times New Roman" w:cs="Times New Roman"/>
          <w:sz w:val="24"/>
          <w:szCs w:val="24"/>
        </w:rPr>
        <w:t xml:space="preserve"> по каналам связи.</w:t>
      </w:r>
    </w:p>
    <w:p w:rsidR="00A75A78" w:rsidRPr="00394518" w:rsidRDefault="00A75A78" w:rsidP="00A75A78">
      <w:pPr>
        <w:ind w:firstLine="360"/>
        <w:jc w:val="both"/>
        <w:rPr>
          <w:sz w:val="24"/>
          <w:szCs w:val="24"/>
        </w:rPr>
      </w:pPr>
    </w:p>
    <w:p w:rsidR="00F513EA" w:rsidRDefault="00F513EA" w:rsidP="00087382">
      <w:pPr>
        <w:jc w:val="center"/>
        <w:rPr>
          <w:sz w:val="24"/>
          <w:szCs w:val="24"/>
        </w:rPr>
        <w:sectPr w:rsidR="00F513EA" w:rsidSect="00852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0" w:type="dxa"/>
        <w:tblInd w:w="89" w:type="dxa"/>
        <w:tblLook w:val="04A0"/>
      </w:tblPr>
      <w:tblGrid>
        <w:gridCol w:w="6301"/>
        <w:gridCol w:w="1005"/>
        <w:gridCol w:w="1420"/>
        <w:gridCol w:w="1240"/>
        <w:gridCol w:w="1259"/>
        <w:gridCol w:w="1000"/>
        <w:gridCol w:w="1200"/>
        <w:gridCol w:w="639"/>
        <w:gridCol w:w="599"/>
        <w:gridCol w:w="579"/>
        <w:gridCol w:w="579"/>
        <w:gridCol w:w="619"/>
      </w:tblGrid>
      <w:tr w:rsidR="00F513EA" w:rsidRPr="00F513EA" w:rsidTr="00F513EA">
        <w:trPr>
          <w:trHeight w:val="157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bookmarkStart w:id="13" w:name="RANGE!A1:G50"/>
            <w:bookmarkEnd w:id="13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Приложение 1      к порядку составления и ведения кассового плана исполнения бюджета Фурмановского муниципального района и бюджета Фурмановского городского поселения</w:t>
            </w:r>
          </w:p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</w:tr>
      <w:tr w:rsidR="00F513EA" w:rsidRPr="00F513EA" w:rsidTr="00F513EA">
        <w:trPr>
          <w:trHeight w:val="31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jc w:val="center"/>
              <w:rPr>
                <w:b/>
                <w:bCs/>
                <w:sz w:val="24"/>
                <w:szCs w:val="24"/>
              </w:rPr>
            </w:pPr>
            <w:r w:rsidRPr="00F513EA">
              <w:rPr>
                <w:b/>
                <w:bCs/>
                <w:sz w:val="24"/>
                <w:szCs w:val="24"/>
              </w:rPr>
              <w:t>Утверждаю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13EA" w:rsidRPr="00F513EA" w:rsidTr="00F513EA">
        <w:trPr>
          <w:trHeight w:val="1410"/>
        </w:trPr>
        <w:tc>
          <w:tcPr>
            <w:tcW w:w="7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  <w:r w:rsidRPr="00F513EA">
              <w:rPr>
                <w:sz w:val="24"/>
                <w:szCs w:val="24"/>
              </w:rPr>
              <w:t>Начальник финансового управления администрации Фурмановского муниципального района                      _______ (Ф.И.О.) __________</w:t>
            </w:r>
            <w:r w:rsidRPr="00F513EA">
              <w:rPr>
                <w:sz w:val="24"/>
                <w:szCs w:val="24"/>
              </w:rPr>
              <w:br/>
              <w:t xml:space="preserve">              _______ (подпись) 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</w:tr>
      <w:tr w:rsidR="00F513EA" w:rsidRPr="00F513EA" w:rsidTr="00F513EA">
        <w:trPr>
          <w:trHeight w:val="750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rFonts w:ascii="Arial" w:hAnsi="Arial" w:cs="Arial"/>
              </w:rPr>
            </w:pPr>
          </w:p>
        </w:tc>
      </w:tr>
      <w:tr w:rsidR="00F513EA" w:rsidRPr="00F513EA" w:rsidTr="00F513EA">
        <w:trPr>
          <w:trHeight w:val="315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jc w:val="center"/>
              <w:rPr>
                <w:b/>
                <w:bCs/>
                <w:sz w:val="24"/>
                <w:szCs w:val="24"/>
              </w:rPr>
            </w:pPr>
            <w:r w:rsidRPr="00F513EA">
              <w:rPr>
                <w:b/>
                <w:bCs/>
                <w:sz w:val="24"/>
                <w:szCs w:val="24"/>
              </w:rPr>
              <w:t xml:space="preserve">Кассовый план исполнения бюджета ___________________________________________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</w:tr>
      <w:tr w:rsidR="00F513EA" w:rsidRPr="00F513EA" w:rsidTr="00F513EA">
        <w:trPr>
          <w:trHeight w:val="315"/>
        </w:trPr>
        <w:tc>
          <w:tcPr>
            <w:tcW w:w="13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jc w:val="center"/>
              <w:rPr>
                <w:b/>
                <w:bCs/>
                <w:sz w:val="24"/>
                <w:szCs w:val="24"/>
              </w:rPr>
            </w:pPr>
            <w:r w:rsidRPr="00F513EA">
              <w:rPr>
                <w:b/>
                <w:bCs/>
                <w:sz w:val="24"/>
                <w:szCs w:val="24"/>
              </w:rPr>
              <w:t xml:space="preserve">на _______ год 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315"/>
        </w:trPr>
        <w:tc>
          <w:tcPr>
            <w:tcW w:w="15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</w:tr>
      <w:tr w:rsidR="00F513EA" w:rsidRPr="00F513EA" w:rsidTr="00F513EA">
        <w:trPr>
          <w:trHeight w:val="31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  <w:r w:rsidRPr="00F513EA">
              <w:rPr>
                <w:sz w:val="24"/>
                <w:szCs w:val="24"/>
              </w:rPr>
              <w:t>тыс.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1020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Наименование показателя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Код строки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Утверждено на ______ год</w:t>
            </w:r>
            <w:proofErr w:type="gramStart"/>
            <w:r w:rsidRPr="00F513EA">
              <w:t xml:space="preserve"> (№, </w:t>
            </w:r>
            <w:proofErr w:type="gramEnd"/>
            <w:r w:rsidRPr="00F513EA">
              <w:t>дата решения о бюджете)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1 квартал             &lt;*&gt;, &lt;**&gt;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 квартал                        &lt;*&gt;, &lt;**&gt;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 квартал                         &lt;*&gt;, &lt;**&gt;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4 квартал                     &lt;*&gt;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</w:rPr>
            </w:pPr>
            <w:r w:rsidRPr="00F513EA">
              <w:rPr>
                <w:b/>
                <w:bCs/>
              </w:rPr>
              <w:t>Остатки средств бюджета Фурмановского муниципального района на начало периода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</w:rPr>
            </w:pPr>
            <w:r w:rsidRPr="00F513EA">
              <w:rPr>
                <w:b/>
                <w:bCs/>
              </w:rPr>
              <w:t>Прогноз кассовых поступлений, в т.ч.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 xml:space="preserve">Прогноз поступлений налоговых и </w:t>
            </w:r>
            <w:proofErr w:type="spellStart"/>
            <w:r w:rsidRPr="00F513EA">
              <w:t>ненаоговых</w:t>
            </w:r>
            <w:proofErr w:type="spellEnd"/>
            <w:r w:rsidRPr="00F513EA">
              <w:t xml:space="preserve"> доходов в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Прогноз безвозмездных поступлений в бюджет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 xml:space="preserve"> дотация на выравнивание  бюджетной обеспеченности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дотация на поддержку мер по обеспечению сбалансированности бюджетов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102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безвозмездные поступления за исключением дотаций и доходов бюджета от возврата бюджетами бюджетной системы РФ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76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доходы бюджета от возврата бюджетами бюджетной системы РФ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</w:rPr>
            </w:pPr>
            <w:r w:rsidRPr="00F513EA">
              <w:rPr>
                <w:b/>
                <w:bCs/>
              </w:rPr>
              <w:t>Прогноз кассовых выплат, в т. ч.: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Кассовые выплаты на перечисление межбюджетных трансфертов другим бюджетам бюджетной системы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 т.ч. кассовые выплаты на перечисление дотаций другим бюджетам бюджетной системы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 т.ч. кассовые выплаты на перечисление субсидий другим бюджетам бюджетной системы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 т.ч. кассовые выплаты на перечисление субвенций другим бюджетам бюджетной системы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 т.ч. кассовые выплаты на перечисление иных межбюджетных трансфертов другим бюджетам бюджетной системы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Кассовые выплаты на перечисление субсидий юридическим лицам (за исключением субсидий муниципальным учреждениям)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Кассовые выплаты на перечисление бюджетных инвестиций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Иные кассовые выплаты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Остатки средств бюджета на конец периода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Pr>
              <w:rPr>
                <w:b/>
                <w:bCs/>
              </w:rPr>
            </w:pPr>
            <w:r w:rsidRPr="00F513EA">
              <w:rPr>
                <w:b/>
                <w:bCs/>
              </w:rPr>
              <w:t>Прогноз поступлений и выплат по источникам финансирования дефицита бюджета, всего,                               в том числе: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500, 600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Размещение муниципальных ценных бумаг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Погашение муниципальных ценных бумаг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Получение кредитов кредитных организаций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Погашение кредитов кредитных организаций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proofErr w:type="spellStart"/>
            <w:r w:rsidRPr="00F513EA">
              <w:t>Пролучение</w:t>
            </w:r>
            <w:proofErr w:type="spellEnd"/>
            <w:r w:rsidRPr="00F513EA">
              <w:t xml:space="preserve"> бюджетных кредитов от других бюджетов бюджетной системы, в т.ч.: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кредиты на пополнение остатков средств на счетах бюджета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бюджетные кредиты от других бюджетов бюджетной системы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Погашение бюджетных кредитов, полученных от других бюджетов бюджетной системы, в т.ч.: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кредиты на пополнение остатков средств на счетах бюджета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бюджетные кредиты от других бюджетов бюджетной системы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Возврат кредитов от муниципальных образований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Предоставление кредитов муниципальным образованиям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Средства от продажи акций</w:t>
            </w:r>
            <w:proofErr w:type="gramStart"/>
            <w:r w:rsidRPr="00F513EA">
              <w:t xml:space="preserve"> (+)</w:t>
            </w:r>
            <w:proofErr w:type="gramEnd"/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Исполнение муниципальных гарантий</w:t>
            </w:r>
            <w:proofErr w:type="gramStart"/>
            <w:r w:rsidRPr="00F513EA">
              <w:t xml:space="preserve">  ( - )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Возврат кредитов от юридических лиц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510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Увеличение финансовых активов за счет средств бюджетных и автономных учреждений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3EA" w:rsidRPr="00F513EA" w:rsidRDefault="00F513EA" w:rsidP="00F513EA">
            <w:r w:rsidRPr="00F513EA">
              <w:t>Изменение остатков средств на счетах по учету средств бюджета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  <w:r w:rsidRPr="00F513EA"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>______________________________________________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 xml:space="preserve"> &lt;*&gt; Текущий квартал разбивается по месяцам.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3EA" w:rsidRPr="00F513EA" w:rsidRDefault="00F513EA" w:rsidP="00F513EA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  <w:tr w:rsidR="00F513EA" w:rsidRPr="00F513EA" w:rsidTr="00F513EA">
        <w:trPr>
          <w:trHeight w:val="255"/>
        </w:trPr>
        <w:tc>
          <w:tcPr>
            <w:tcW w:w="8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>
            <w:r w:rsidRPr="00F513EA">
              <w:t xml:space="preserve"> &lt;**&gt; По окончании периода указывается фактическое исполнение местного бюджета.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3EA" w:rsidRPr="00F513EA" w:rsidRDefault="00F513EA" w:rsidP="00F513EA"/>
        </w:tc>
      </w:tr>
    </w:tbl>
    <w:p w:rsidR="006814EF" w:rsidRDefault="006814EF" w:rsidP="00087382">
      <w:pPr>
        <w:jc w:val="center"/>
        <w:rPr>
          <w:sz w:val="24"/>
          <w:szCs w:val="24"/>
        </w:rPr>
      </w:pPr>
    </w:p>
    <w:p w:rsidR="00565DE1" w:rsidRDefault="006814EF" w:rsidP="000873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br w:type="page"/>
      </w:r>
      <w:r w:rsidR="001113D2">
        <w:rPr>
          <w:sz w:val="24"/>
          <w:szCs w:val="24"/>
        </w:rPr>
        <w:object w:dxaOrig="16245" w:dyaOrig="9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4pt;height:451.65pt" o:ole="">
            <v:imagedata r:id="rId7" o:title=""/>
          </v:shape>
          <o:OLEObject Type="Embed" ProgID="Excel.Sheet.8" ShapeID="_x0000_i1025" DrawAspect="Content" ObjectID="_1651399719" r:id="rId8"/>
        </w:object>
      </w:r>
    </w:p>
    <w:p w:rsidR="001113D2" w:rsidRDefault="001113D2" w:rsidP="000873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object w:dxaOrig="18001" w:dyaOrig="13404">
          <v:shape id="_x0000_i1029" type="#_x0000_t75" style="width:749pt;height:557.3pt" o:ole="">
            <v:imagedata r:id="rId9" o:title=""/>
          </v:shape>
          <o:OLEObject Type="Embed" ProgID="Excel.Sheet.8" ShapeID="_x0000_i1029" DrawAspect="Content" ObjectID="_1651399720" r:id="rId10"/>
        </w:object>
      </w:r>
      <w:r>
        <w:rPr>
          <w:sz w:val="24"/>
          <w:szCs w:val="24"/>
          <w:lang w:val="en-US"/>
        </w:rPr>
        <w:object w:dxaOrig="17037" w:dyaOrig="10336">
          <v:shape id="_x0000_i1035" type="#_x0000_t75" style="width:741.5pt;height:450.7pt" o:ole="">
            <v:imagedata r:id="rId11" o:title=""/>
          </v:shape>
          <o:OLEObject Type="Embed" ProgID="Excel.Sheet.8" ShapeID="_x0000_i1035" DrawAspect="Content" ObjectID="_1651399721" r:id="rId12"/>
        </w:object>
      </w:r>
    </w:p>
    <w:p w:rsidR="001113D2" w:rsidRDefault="001113D2" w:rsidP="000873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object w:dxaOrig="15550" w:dyaOrig="9389">
          <v:shape id="_x0000_i1039" type="#_x0000_t75" style="width:715.3pt;height:6in" o:ole="">
            <v:imagedata r:id="rId13" o:title=""/>
          </v:shape>
          <o:OLEObject Type="Embed" ProgID="Excel.Sheet.8" ShapeID="_x0000_i1039" DrawAspect="Content" ObjectID="_1651399722" r:id="rId14"/>
        </w:object>
      </w:r>
    </w:p>
    <w:p w:rsidR="001113D2" w:rsidRDefault="001113D2" w:rsidP="00087382">
      <w:pPr>
        <w:jc w:val="center"/>
        <w:rPr>
          <w:sz w:val="24"/>
          <w:szCs w:val="24"/>
          <w:lang w:val="en-US"/>
        </w:rPr>
      </w:pPr>
    </w:p>
    <w:p w:rsidR="001113D2" w:rsidRDefault="001113D2" w:rsidP="00087382">
      <w:pPr>
        <w:jc w:val="center"/>
        <w:rPr>
          <w:sz w:val="24"/>
          <w:szCs w:val="24"/>
          <w:lang w:val="en-US"/>
        </w:rPr>
      </w:pPr>
    </w:p>
    <w:p w:rsidR="001113D2" w:rsidRPr="001113D2" w:rsidRDefault="001113D2" w:rsidP="0008738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object w:dxaOrig="16983" w:dyaOrig="11583">
          <v:shape id="_x0000_i1041" type="#_x0000_t75" style="width:749pt;height:510.55pt" o:ole="">
            <v:imagedata r:id="rId15" o:title=""/>
          </v:shape>
          <o:OLEObject Type="Embed" ProgID="Excel.Sheet.8" ShapeID="_x0000_i1041" DrawAspect="Content" ObjectID="_1651399723" r:id="rId16"/>
        </w:object>
      </w:r>
      <w:r>
        <w:rPr>
          <w:sz w:val="24"/>
          <w:szCs w:val="24"/>
          <w:lang w:val="en-US"/>
        </w:rPr>
        <w:object w:dxaOrig="16906" w:dyaOrig="9199">
          <v:shape id="_x0000_i1046" type="#_x0000_t75" style="width:818.2pt;height:445.1pt" o:ole="">
            <v:imagedata r:id="rId17" o:title=""/>
          </v:shape>
          <o:OLEObject Type="Embed" ProgID="Excel.Sheet.8" ShapeID="_x0000_i1046" DrawAspect="Content" ObjectID="_1651399724" r:id="rId18"/>
        </w:object>
      </w:r>
    </w:p>
    <w:sectPr w:rsidR="001113D2" w:rsidRPr="001113D2" w:rsidSect="00F51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87382"/>
    <w:rsid w:val="001015FC"/>
    <w:rsid w:val="0010560D"/>
    <w:rsid w:val="001113D2"/>
    <w:rsid w:val="003702C0"/>
    <w:rsid w:val="00374BCA"/>
    <w:rsid w:val="0038216C"/>
    <w:rsid w:val="00394518"/>
    <w:rsid w:val="004278EB"/>
    <w:rsid w:val="00467D54"/>
    <w:rsid w:val="004753B9"/>
    <w:rsid w:val="004C2B23"/>
    <w:rsid w:val="00565DE1"/>
    <w:rsid w:val="0057183C"/>
    <w:rsid w:val="00602FF0"/>
    <w:rsid w:val="0062527F"/>
    <w:rsid w:val="006814EF"/>
    <w:rsid w:val="006A6AEC"/>
    <w:rsid w:val="006E6F52"/>
    <w:rsid w:val="007D614E"/>
    <w:rsid w:val="00852611"/>
    <w:rsid w:val="00867B3E"/>
    <w:rsid w:val="00A66BCD"/>
    <w:rsid w:val="00A75A78"/>
    <w:rsid w:val="00B35908"/>
    <w:rsid w:val="00C526AE"/>
    <w:rsid w:val="00E73E0E"/>
    <w:rsid w:val="00F10E71"/>
    <w:rsid w:val="00F5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65DE1"/>
    <w:pPr>
      <w:keepNext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565DE1"/>
    <w:rPr>
      <w:rFonts w:ascii="Times New Roman" w:eastAsia="Times New Roman" w:hAnsi="Times New Roman"/>
      <w:b/>
      <w:bCs/>
      <w:sz w:val="24"/>
      <w:szCs w:val="20"/>
    </w:rPr>
  </w:style>
  <w:style w:type="paragraph" w:styleId="a7">
    <w:name w:val="Body Text Indent"/>
    <w:basedOn w:val="a"/>
    <w:link w:val="a8"/>
    <w:unhideWhenUsed/>
    <w:rsid w:val="00565DE1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565DE1"/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rsid w:val="003702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75A7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emf"/><Relationship Id="rId18" Type="http://schemas.openxmlformats.org/officeDocument/2006/relationships/oleObject" Target="embeddings/_____Microsoft_Office_Excel_97-20036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Microsoft_Office_Excel_97-20033.xls"/><Relationship Id="rId17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oleObject" Target="embeddings/_____Microsoft_Office_Excel_97-20035.xls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furmanov@mail.ru" TargetMode="External"/><Relationship Id="rId11" Type="http://schemas.openxmlformats.org/officeDocument/2006/relationships/image" Target="media/image3.emf"/><Relationship Id="rId5" Type="http://schemas.openxmlformats.org/officeDocument/2006/relationships/hyperlink" Target="consultantplus://offline/ref=CD2CA5FD9DD4639FF606CB881A5DC6D1996EA05467964BF7CD083548C970C8BE62BB8EE67DBFFA700C5B4BA091B66D704E73C15086B6EF86FC7146E1j5MDL" TargetMode="External"/><Relationship Id="rId15" Type="http://schemas.openxmlformats.org/officeDocument/2006/relationships/image" Target="media/image5.emf"/><Relationship Id="rId10" Type="http://schemas.openxmlformats.org/officeDocument/2006/relationships/oleObject" Target="embeddings/_____Microsoft_Office_Excel_97-20032.xls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D2CA5FD9DD4639FF606CB881A5DC6D1996EA05467964BF7CD083548C970C8BE62BB8EE67DBFFA700C5B49AE9FB66D704E73C15086B6EF86FC7146E1j5MDL" TargetMode="External"/><Relationship Id="rId9" Type="http://schemas.openxmlformats.org/officeDocument/2006/relationships/image" Target="media/image2.emf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3298</Words>
  <Characters>25408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2020-03-04T06:36:00Z</cp:lastPrinted>
  <dcterms:created xsi:type="dcterms:W3CDTF">2019-11-19T10:08:00Z</dcterms:created>
  <dcterms:modified xsi:type="dcterms:W3CDTF">2020-05-19T10:22:00Z</dcterms:modified>
</cp:coreProperties>
</file>