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3C" w:rsidRDefault="00C56284" w:rsidP="00995DB2">
      <w:pPr>
        <w:pStyle w:val="aa"/>
      </w:pPr>
      <w:bookmarkStart w:id="0" w:name="Bookmark"/>
      <w:bookmarkStart w:id="1" w:name="_GoBack"/>
      <w:bookmarkEnd w:id="0"/>
      <w:bookmarkEnd w:id="1"/>
      <w:r>
        <w:rPr>
          <w:noProof/>
          <w:lang w:eastAsia="ru-RU"/>
        </w:rPr>
        <w:drawing>
          <wp:inline distT="0" distB="0" distL="0" distR="0">
            <wp:extent cx="6667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DB2" w:rsidRPr="00995DB2" w:rsidRDefault="00995DB2" w:rsidP="00995DB2">
      <w:pPr>
        <w:pStyle w:val="ab"/>
      </w:pPr>
    </w:p>
    <w:p w:rsidR="008D3D3C" w:rsidRDefault="008D3D3C">
      <w:pPr>
        <w:jc w:val="center"/>
        <w:rPr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РОССИЙСКАЯ ФЕДЕРАЦИЯ</w:t>
      </w:r>
    </w:p>
    <w:p w:rsidR="00995DB2" w:rsidRDefault="008D3D3C">
      <w:pPr>
        <w:pStyle w:val="a0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СОВЕТ </w:t>
      </w:r>
    </w:p>
    <w:p w:rsidR="008D3D3C" w:rsidRDefault="008D3D3C">
      <w:pPr>
        <w:pStyle w:val="a0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ФУРМАНОВСКОГО МУНИЦИПАЛЬНОГО РАЙОНА</w:t>
      </w:r>
    </w:p>
    <w:p w:rsidR="008D3D3C" w:rsidRDefault="008D3D3C">
      <w:pPr>
        <w:pStyle w:val="a0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ИВАНОВСКАЯ ОБЛАСТЬ</w:t>
      </w:r>
    </w:p>
    <w:p w:rsidR="008D3D3C" w:rsidRDefault="008D3D3C">
      <w:pPr>
        <w:pStyle w:val="1"/>
        <w:jc w:val="center"/>
        <w:rPr>
          <w:b/>
          <w:bCs/>
          <w:sz w:val="34"/>
          <w:szCs w:val="34"/>
          <w:u w:val="none"/>
        </w:rPr>
      </w:pPr>
    </w:p>
    <w:p w:rsidR="008D3D3C" w:rsidRDefault="008D3D3C">
      <w:pPr>
        <w:pStyle w:val="1"/>
        <w:ind w:firstLine="0"/>
        <w:jc w:val="center"/>
      </w:pPr>
      <w:r>
        <w:rPr>
          <w:b/>
          <w:bCs/>
          <w:sz w:val="36"/>
          <w:szCs w:val="36"/>
          <w:u w:val="none"/>
        </w:rPr>
        <w:t>РЕШЕНИЕ</w:t>
      </w:r>
    </w:p>
    <w:p w:rsidR="008D3D3C" w:rsidRDefault="008D3D3C">
      <w:pPr>
        <w:spacing w:after="0" w:line="100" w:lineRule="atLeast"/>
        <w:ind w:firstLine="709"/>
        <w:rPr>
          <w:rFonts w:cs="Times New Roman"/>
        </w:rPr>
      </w:pPr>
    </w:p>
    <w:p w:rsidR="008D3D3C" w:rsidRDefault="00995DB2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25 февраля</w:t>
      </w:r>
      <w:r w:rsidR="008D3D3C">
        <w:rPr>
          <w:rFonts w:ascii="Times New Roman" w:hAnsi="Times New Roman" w:cs="Times New Roman"/>
          <w:b/>
          <w:bCs/>
          <w:sz w:val="24"/>
          <w:szCs w:val="24"/>
        </w:rPr>
        <w:t xml:space="preserve"> 2021 года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№ 15</w:t>
      </w:r>
      <w:r w:rsidR="008D3D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D3D3C" w:rsidRDefault="008D3D3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Фурманов</w:t>
      </w:r>
    </w:p>
    <w:p w:rsidR="008D3D3C" w:rsidRDefault="008D3D3C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D3C" w:rsidRDefault="008D3D3C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3D3C" w:rsidRDefault="008D3D3C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отчете о работе Контрольно-счетной комиссии Фурмановского муниципального района за 2020 год </w:t>
      </w:r>
    </w:p>
    <w:p w:rsidR="008D3D3C" w:rsidRDefault="008D3D3C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3D3C" w:rsidRDefault="008D3D3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 Положением о Контрольно-счетной комиссии Фурмановского муниципального района, утвержденным Решением Совета Фурмановского муниципального района от 27.06.2019 №60, рассмотрев Отчет о работе Контрольно-счетной комиссии Фурмановского муниципального района за 2020 год, руководствуясь статьей 31 Устава Фурмановского муниципального района, Совет Фурмановского муниципального района</w:t>
      </w:r>
    </w:p>
    <w:p w:rsidR="008D3D3C" w:rsidRDefault="008D3D3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8D3D3C" w:rsidRDefault="008D3D3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1.Принять к сведению Отчет о работе Контрольно-счетной комиссии Фурмановского муниципального района за 2020 год согласно Приложению.</w:t>
      </w:r>
    </w:p>
    <w:p w:rsidR="008D3D3C" w:rsidRDefault="008D3D3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Решение вступает в силу с даты его официального опубликования.</w:t>
      </w:r>
    </w:p>
    <w:p w:rsidR="008D3D3C" w:rsidRDefault="008D3D3C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3.Опубликовать настоящее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8D3D3C" w:rsidRDefault="008D3D3C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D3C" w:rsidRDefault="008D3D3C">
      <w:pPr>
        <w:spacing w:after="0" w:line="100" w:lineRule="atLeast"/>
        <w:ind w:firstLine="709"/>
        <w:jc w:val="both"/>
      </w:pPr>
    </w:p>
    <w:p w:rsidR="008D3D3C" w:rsidRDefault="008D3D3C">
      <w:pPr>
        <w:spacing w:after="0" w:line="100" w:lineRule="atLeast"/>
        <w:ind w:firstLine="709"/>
        <w:jc w:val="both"/>
        <w:rPr>
          <w:b/>
          <w:bCs/>
        </w:rPr>
      </w:pPr>
    </w:p>
    <w:p w:rsidR="008D3D3C" w:rsidRDefault="008D3D3C">
      <w:pPr>
        <w:pStyle w:val="msonormalcxspmiddle"/>
        <w:spacing w:before="0" w:after="0"/>
        <w:rPr>
          <w:b/>
          <w:bCs/>
        </w:rPr>
      </w:pPr>
      <w:r>
        <w:rPr>
          <w:b/>
          <w:bCs/>
        </w:rPr>
        <w:t xml:space="preserve">Глава Фурмановского </w:t>
      </w:r>
    </w:p>
    <w:p w:rsidR="008D3D3C" w:rsidRDefault="008D3D3C">
      <w:pPr>
        <w:pStyle w:val="msonormalcxspmiddle"/>
        <w:spacing w:before="0" w:after="0"/>
        <w:rPr>
          <w:b/>
          <w:bCs/>
        </w:rPr>
      </w:pPr>
      <w:r>
        <w:rPr>
          <w:b/>
          <w:bCs/>
        </w:rPr>
        <w:t>муниципального района                                                                               Р.А. Соловьев</w:t>
      </w:r>
    </w:p>
    <w:p w:rsidR="008D3D3C" w:rsidRDefault="008D3D3C">
      <w:pPr>
        <w:pStyle w:val="msonormalcxspmiddle"/>
        <w:spacing w:before="0" w:after="0"/>
        <w:jc w:val="both"/>
        <w:rPr>
          <w:b/>
          <w:bCs/>
        </w:rPr>
      </w:pPr>
    </w:p>
    <w:p w:rsidR="008D3D3C" w:rsidRDefault="008D3D3C">
      <w:pPr>
        <w:pStyle w:val="msonormalcxspmiddle"/>
        <w:spacing w:before="0" w:after="0"/>
        <w:jc w:val="both"/>
        <w:rPr>
          <w:b/>
          <w:bCs/>
        </w:rPr>
      </w:pPr>
    </w:p>
    <w:p w:rsidR="008D3D3C" w:rsidRDefault="008D3D3C">
      <w:pPr>
        <w:pStyle w:val="msonormalcxspmiddle"/>
        <w:spacing w:before="0" w:after="0"/>
        <w:rPr>
          <w:b/>
        </w:rPr>
      </w:pPr>
      <w:r>
        <w:rPr>
          <w:b/>
          <w:bCs/>
        </w:rPr>
        <w:t xml:space="preserve">Председатель Совета Фурмановского </w:t>
      </w:r>
    </w:p>
    <w:p w:rsidR="008D3D3C" w:rsidRDefault="008D3D3C">
      <w:pPr>
        <w:pStyle w:val="msonormalcxspmiddle"/>
        <w:spacing w:before="0" w:after="0"/>
        <w:rPr>
          <w:b/>
        </w:rPr>
      </w:pPr>
      <w:r>
        <w:rPr>
          <w:b/>
        </w:rPr>
        <w:t>муниципального района                                                                               Г.В. Жаренова</w:t>
      </w:r>
    </w:p>
    <w:p w:rsidR="008D3D3C" w:rsidRDefault="008D3D3C">
      <w:pPr>
        <w:pStyle w:val="msonormalcxspmiddle"/>
        <w:spacing w:before="0" w:after="0"/>
        <w:rPr>
          <w:b/>
        </w:rPr>
      </w:pPr>
    </w:p>
    <w:p w:rsidR="008D3D3C" w:rsidRDefault="008D3D3C">
      <w:pPr>
        <w:pStyle w:val="msonormalcxspmiddle"/>
        <w:spacing w:before="0" w:after="0"/>
        <w:rPr>
          <w:b/>
        </w:rPr>
      </w:pPr>
    </w:p>
    <w:p w:rsidR="008D3D3C" w:rsidRDefault="008D3D3C">
      <w:pPr>
        <w:sectPr w:rsidR="008D3D3C">
          <w:pgSz w:w="11906" w:h="16838"/>
          <w:pgMar w:top="1256" w:right="1133" w:bottom="851" w:left="1701" w:header="720" w:footer="720" w:gutter="0"/>
          <w:cols w:space="720"/>
          <w:docGrid w:linePitch="600" w:charSpace="36864"/>
        </w:sectPr>
      </w:pPr>
    </w:p>
    <w:p w:rsidR="008D3D3C" w:rsidRDefault="008D3D3C" w:rsidP="00463907">
      <w:pPr>
        <w:widowControl w:val="0"/>
        <w:suppressAutoHyphens w:val="0"/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Приложение </w:t>
      </w:r>
    </w:p>
    <w:p w:rsidR="008D3D3C" w:rsidRDefault="008D3D3C" w:rsidP="00463907">
      <w:pPr>
        <w:widowControl w:val="0"/>
        <w:suppressAutoHyphens w:val="0"/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к Решению Совета </w:t>
      </w:r>
    </w:p>
    <w:p w:rsidR="008D3D3C" w:rsidRDefault="008D3D3C" w:rsidP="00463907">
      <w:pPr>
        <w:widowControl w:val="0"/>
        <w:suppressAutoHyphens w:val="0"/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Фурмановского</w:t>
      </w:r>
    </w:p>
    <w:p w:rsidR="008D3D3C" w:rsidRDefault="008D3D3C" w:rsidP="00463907">
      <w:pPr>
        <w:widowControl w:val="0"/>
        <w:suppressAutoHyphens w:val="0"/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муниципального района</w:t>
      </w:r>
    </w:p>
    <w:p w:rsidR="008D3D3C" w:rsidRDefault="008D3D3C" w:rsidP="00463907">
      <w:pPr>
        <w:widowControl w:val="0"/>
        <w:suppressAutoHyphens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 w:rsidR="00995DB2">
        <w:rPr>
          <w:rFonts w:ascii="Times New Roman" w:eastAsia="Times New Roman" w:hAnsi="Times New Roman" w:cs="Times New Roman"/>
        </w:rPr>
        <w:t xml:space="preserve">                    от 25.02.2021 № 15</w:t>
      </w:r>
    </w:p>
    <w:p w:rsidR="008D3D3C" w:rsidRDefault="008D3D3C" w:rsidP="00463907">
      <w:pPr>
        <w:widowControl w:val="0"/>
        <w:suppressAutoHyphens w:val="0"/>
        <w:spacing w:after="0" w:line="240" w:lineRule="atLeast"/>
        <w:ind w:firstLine="540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8D3D3C" w:rsidRDefault="008D3D3C">
      <w:pPr>
        <w:tabs>
          <w:tab w:val="left" w:pos="3945"/>
          <w:tab w:val="center" w:pos="4677"/>
          <w:tab w:val="right" w:pos="9355"/>
        </w:tabs>
        <w:suppressAutoHyphens w:val="0"/>
        <w:spacing w:after="0" w:line="100" w:lineRule="atLeast"/>
        <w:jc w:val="center"/>
        <w:rPr>
          <w:b/>
        </w:rPr>
      </w:pPr>
    </w:p>
    <w:p w:rsidR="008D3D3C" w:rsidRDefault="008D3D3C">
      <w:pPr>
        <w:tabs>
          <w:tab w:val="left" w:pos="3945"/>
          <w:tab w:val="center" w:pos="4677"/>
          <w:tab w:val="right" w:pos="9355"/>
        </w:tabs>
        <w:suppressAutoHyphens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КОНТРОЛЬНО-СЧЕТНАЯ КОМИССИЯ</w:t>
      </w:r>
    </w:p>
    <w:p w:rsidR="008D3D3C" w:rsidRDefault="008D3D3C">
      <w:pPr>
        <w:widowControl w:val="0"/>
        <w:tabs>
          <w:tab w:val="left" w:pos="3945"/>
          <w:tab w:val="center" w:pos="4677"/>
          <w:tab w:val="right" w:pos="9355"/>
        </w:tabs>
        <w:suppressAutoHyphens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ФУРМАНОВСКОГО МУНИЦИПАЛЬНОГО РАЙОНА</w:t>
      </w:r>
    </w:p>
    <w:p w:rsidR="008D3D3C" w:rsidRDefault="008D3D3C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3D3C" w:rsidRDefault="008D3D3C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Bookmark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</w:t>
      </w:r>
    </w:p>
    <w:p w:rsidR="008D3D3C" w:rsidRDefault="008D3D3C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РАБОТЕ КОНТРОЛЬНО-СЧЕТНОЙ КОМИССИИ ФУРМАНОВСКОГО МУНИЦИПАЛЬНОГО РАЙОНА ЗА 2020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8D3D3C" w:rsidRDefault="008D3D3C">
      <w:pPr>
        <w:widowControl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Отчет о работе Контрольно-счетной комиссии Фурмановского муниципального района за 2020 год (далее - Отчет) подготовлен в соответствии с требованиями  пункта 2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 6-ФЗ), пункта 7.1 части 7 Положения о Контрольно-счетной комиссии Фурмановского муниципального района, утвержденного решением  Совета Фурмановского муниципального района от 27.06.2019 № 60 (далее – Положение о КСК), пункта 8.2 части 8 Регламента Контрольно-счетной комиссии Фурмановского муниципального района.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Отчет содержит информацию об основных итогах деятельности, результатах проведенных экспертно-аналитических и контрольных мероприятий, о выполнении представлений и предложений Контрольно-счетной комиссии Фурмановского муниципального района (далее – Контрольно-счетная комиссия), об организационно-методической работе, информационной деятельности. Отчет является одной из форм реализации принципа гласности, на котором основывается деятельность Контрольно-счетной комиссии.</w:t>
      </w:r>
    </w:p>
    <w:p w:rsidR="008D3D3C" w:rsidRDefault="008D3D3C">
      <w:pPr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3D3C" w:rsidRDefault="008D3D3C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итоги и особенности деятельности</w:t>
      </w:r>
    </w:p>
    <w:p w:rsidR="008D3D3C" w:rsidRDefault="008D3D3C">
      <w:pPr>
        <w:spacing w:after="0" w:line="200" w:lineRule="atLeast"/>
        <w:ind w:left="360"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Контрольно-счетная комиссия является постоянно действующим органом внешнего муниципального финансового контроля, подотчетным Совету Фурмановского муниципального района.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соответствии с Положением о Контрольно-счетной комиссии, в ее состав входят Председатель и аппарат Контрольно-счетной комиссии, состоящий из одной штатной единицы инспектора. Таким образом, штатная численность Контрольно-счетной комиссии составляет 2 штатные единицы.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отчетном периоде Контрольно-счетной комиссией обеспечивалась реализация основных полномочий, возложенных на нее Бюджетным кодексом Российской Федерации, Федеральными законом № 6-ФЗ, Уставом Фурмановского муниципального района, Положением о Контрольно-счетной комиссии. Организация деятельности Контрольно-счетной комиссии строилась на основе принципов законности, объективности, эффективности, независимости и гласности.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Приоритеты деятельности Контрольно-счетной комиссии в 2020 году были направлены на обеспечение прозрачности бюджетного процесса, обеспечение законности, эффективности и целесообразности использования средств бюджета Фурмановского муниципального района и бюджетов поселений, входящих в состав Фурмановского муниципального района (далее – муниципальные образования),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использования имущества, находящегося в муниципальной собственности, а также на предупреждение, профилактику нарушений в финансово-бюджетной сфере и устранение причин возникновения нарушений. Контрольно-счетная комиссия в соответствии с Бюджетным кодексом Российской Федерации, Федеральным законом №6-ФЗ, Положением о Контрольно-счетной комиссии, Положениями о бюджетных процессах в Фурмановском муниципальном районе и поселениях Фурмановского муниципального района, как участник бюджетного процесса, обеспечивала внешний муниципальный финансовый контроль формирования и исполнения бюджетов муниципальных образований, анализировала бюджетные процессы в муниципальных образованиях и готовила предложения, направленные на их совершенствование.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 отчетном году Советом Фурмановского муниципального района и представительными органами поселений Фурмановского муниципального района были заключены 6 соглашений о передаче полномочий по осуществлению внешнего муниципального финансового контроля в поселениях Фурмановского муниципального района Контрольно-счетной комиссии.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Свою работу в 2020 году Контрольно-счетная комиссия осуществляла на основании годового плана работы, который был разработан в декабре 2019 года и утвержден Председателем Контрольно-счетной комиссии 27.12.2019.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3D3C" w:rsidRDefault="008D3D3C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Экспертно-аналитическая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Отдельные аспекты деятельности администрации Фурмановского муниципального района, ее структурных подразделений и администраций поселений, входящих в состав Фурмановского муниципального района по формированию и исполнению бюджетов рассматривались Контрольно-счетной комиссией в ходе проведения экспертно-аналитических мероприятий.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соответствии с требованиями Бюджетного кодекса Российской Федерации,  Положениями о бюджетных процессах в муниципальных образованиях, в отчетном году осуществлялась внешняя проверка годовых отчетов об исполнении бюджетов муниципальных образований Фурмановского муниципального района, экспертиза проектов бюджетов на очередной финансовый год и на плановый период, экспертиза проектов решений представительных органов Фурмановского муниципального района и Фурмановского городского поселения о внесении изменений в бюджеты, финансово-экономическая экспертиза муниципальных программ.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Кроме этого, ежеквартально осуществлялись мероприятия по анализу исполнения бюджетов Фурмановского муниципального района и Фурмановского городского поселения в отчетном финансовом году, анализу состояния муниципального долга, а также мониторинг и анализ исполнения муниципальных программ.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Данные аналитические мероприятия позволили своевременно контролировать исполнение бюджетов Фурмановского муниципального района и поселений Фурмановского муниципального района, послужили основой для определения проблемных вопросов и принятия решений о проведении отдельных контрольных мероприятий.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При экспертизах проектов бюджетов муниципальных образований на 2021 год и на плановый период 2022 и 2023 годов выявлен ряд нарушений, не подлежащих стоимостному исчислению, допущенных на стадии формирования пакета документов, направляемых в представительные органы одновременно с проектом бюджета.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Анализ исполнения бюджетов за 2020 год, тематические экспертно-аналитические мероприятия, затрагивающие вопросы использования бюджетных средств на выполнение программных мероприятий, свидетельствует о наличии нарушений при реализации муниципальных программ в части несвоевременного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приведения объемов финансирования в соответствии с бюджетами муниципальных образований, корректировки целевых показателей. Также остается на недостаточно высоком уровне качество финансово-экономического обоснования принимаемых расходных обязательств в рамках муниципальных программ.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течение 2020 года Контрольно-счетной комиссией, в рамках экспертно-аналитической деятельности, было проведено 122 экспертно-аналитических мероприятия в форме экспертиз. В том числе было проведено: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- 77 финансово-экономических экспертиз проектов муниципальных нормативных правовых актов местных администраций муниципальных образований о внесении изменений в действующие муниципальные программы Фурмановского муниципального района и поселений, входящих в состав Фурмановского муниципального района, и утверждении новых муниципальных программ;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- 7 экспертиз проектов решений представительных органов муниципальных образований об утверждении отчетов об исполнении бюджетов Фурмановского муниципального района и поселений, входящих в состав Фурмановского муниципального района, за 2019 год;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- 7 экспертиз по проектам бюджетов Фурмановского муниципального района и поселений, входящих в состав Фурмановского муниципального района, на 2021 год и на плановый период 2022 и 2023 годов;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- 3 финансово-экономические экспертизы отчетов об исполнении бюджета Фурмановского муниципального района за 1 квартал, полугодие и 9 месяцев 2020 года;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- 3 финансово-экономические экспертизы отчетов об исполнении бюджета Фурмановского городского поселения за 1 квартал, полугодие и 9 месяцев 2020 года;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- 12 экспертиз проектов решений Совета Фурмановского муниципального района по внесению изменений в бюджет Фурмановского муниципального района на 2020 год и на плановый период 2021 и 2022 годов;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- 13 экспертиз проектов решений Совета Фурмановского городского поселения по внесению изменений в бюджет Фурмановского городского поселения на 2020 год и на плановый период 2021 и 2022 годов.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По итогам проведенных экспертно-аналитических мероприятий в  2020 году были выявлены следующие нарушения: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при экспертизе нормативных правовых актов местных администраций о внесении изменений в действующие муниципальные программы было выявлено 10 случаев нарушения уполномоченными органами местных администраций требований части 2 статьи 179 Бюджетного кодекса Российской Федерации, в соответствии с которой муниципальные программы подлежат приведению в соответствие с решением о бюджете не позднее трех месяцев со дня вступления его в силу, в том числе: 3 нарушения со стороны Отдела бюджетного учета и отчетности администрации Фурмановского муниципального района, 2 нарушения со стороны Комитета по управлению муниципальным имуществом и земельным отношениям администрации Фурмановского муниципального района, 2 нарушения со стороны администрации Панинского сельского поселения, по одному нарушению со стороны Отдела экономического развития и торговли администрации Фурмановского муниципального района, Отдела жилищно-коммунального хозяйства и благоустройства администрации Фурмановского муниципального района, Финансового управления администрации Фурмановского муниципального района;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при экспертизе проектов бюджетов на 2021 год и на плановый период 2022 и 2023 годов было выявлено 5 случаев нарушения части 2 статьи 173 Бюджетного кодекса Российской Федерации, выразившихся в отсутствии нормативных правовых актов местных администраций сельских поселений, утверждающих порядки разработки прогнозов социально-экономического развития муниципальных образований;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- при экспертизе отчетов исполнения бюджетов Фурмановского муниципального района и Фурмановского городского поселения за 2019 год были выявлены 2 </w:t>
      </w:r>
      <w:r>
        <w:rPr>
          <w:rFonts w:ascii="Times New Roman" w:hAnsi="Times New Roman" w:cs="Times New Roman"/>
          <w:sz w:val="24"/>
          <w:szCs w:val="24"/>
        </w:rPr>
        <w:t>факта нарушения пункта 78 Приказа Министерства финансов Российской Федерации от 06.12.2010 №162н «Об утверждении плана счетов бюджетного учета и инструкции по его применению» с учетом разъяснений, отраженных в письмах Министерства финансов Российской Федерации от 05.07.2012 №02-06-07/2561, от 27.07.2012 №02-04-11/2950, от 20.05.2016 №02-07-10/29243, выразившееся в том, что в отчетности Финансового управления администрации Фурмановского муниципального района, как финансового органа и как главного администратора доходов бюджета, были отражены доходы с несоответствующими ему кодами главного администратора доходов  и кодом элемента бюджета, соответствующим элементу бюджета муниципального района (в бюджетной отчетности Финансового управления администрации Фурмановского муниципального района (форма 0503127, форма 0503121, форма 0503123) были отражены доходы с кодами элементов бюджетов: «05» (бюджет муниципального района), «13» (бюджет городского поселения) и кодами главных администраторов доходов федерального бюджета (бюджета Ивановской области).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 результатам проведенных экспертиз подготовлено 122 Заключения Контрольно-счетной комиссии, в которых были отражены все предложения и замечания Контрольно-счетной комиссии. Заключения были направлены администраторам (разработчикам) нормативных правовых актов, в Совет Фурмановского муниципального района, в администрации Фурмановского муниципального района и сельских поселений Фурмановского муниципального района. Подготовлено информационное письмо в адрес Отдела экономического развития и торговли администрации Фурмановского муниципального района, являющегося уполномоченным органом по разработке прогнозов социально-экономического развития муниципальных образований Фурмановского муниципального района. 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3D3C" w:rsidRDefault="008D3D3C">
      <w:pPr>
        <w:widowControl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Контрольные мероприятия</w:t>
      </w:r>
    </w:p>
    <w:p w:rsidR="008D3D3C" w:rsidRDefault="008D3D3C">
      <w:pPr>
        <w:widowControl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D3C" w:rsidRDefault="008D3D3C">
      <w:pPr>
        <w:widowControl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Контрольные мероприятия, осуществленные в 2020 году, были проведены по инициативе Контрольно-счетной комиссии, представительного органа Хромцовского сельского поселения и в соответствии с требованиями бюджетного законодательства.</w:t>
      </w:r>
    </w:p>
    <w:p w:rsidR="008D3D3C" w:rsidRDefault="008D3D3C">
      <w:pPr>
        <w:widowControl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Одно, из двух осуществленных в 2020 году контрольных мероприятий, было проведено в виде параллельного мероприятия совместно с Контрольно-счетной палатой Ивановской области. </w:t>
      </w:r>
    </w:p>
    <w:p w:rsidR="008D3D3C" w:rsidRDefault="008D3D3C">
      <w:pPr>
        <w:widowControl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Объектами контрольных мероприятий были администрация Хромцовского сельского поселения, муниципальные учреждения и органы местной администрации Фурмановского муниципального района.</w:t>
      </w:r>
    </w:p>
    <w:p w:rsidR="008D3D3C" w:rsidRDefault="008D3D3C">
      <w:pPr>
        <w:widowControl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При проведении контрольных мероприятий были выявлены нарушения, которые можно отнести к разряду нарушений, объем которых можно измерить в стоимостном выражении. К ним относятся нарушения порядка формирования и ведения бюджетной сметы, нарушение нормативных правовых актов муниципального образования при расходовании бюджетных средств, выделенных на оплату труда сотрудников, нарушения при проведении закупок товаров, работ, услуг для муниципальных нужд и исполнении муниципальных контрактов.</w:t>
      </w:r>
    </w:p>
    <w:p w:rsidR="008D3D3C" w:rsidRDefault="008D3D3C">
      <w:pPr>
        <w:widowControl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Полномочия по аудиту в сфере закупок, возложенные на контрольно-счетные органы статьей 98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05.04.2013 № 44-ФЗ «О контактной системе в сфере закупок товаров, работ, услуг для обеспечения государственных и муниципальных нужд», Контрольно-счетная комиссия реализовывала посредством включения вопросов аудита в сфере закупок в программы контрольных мероприятий.</w:t>
      </w:r>
    </w:p>
    <w:p w:rsidR="008D3D3C" w:rsidRDefault="008D3D3C">
      <w:pPr>
        <w:widowControl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Результаты проведенных в отчетном периоде мероприятий свидетельствуют о сохранении большого числа нарушений в данной сфере.</w:t>
      </w:r>
    </w:p>
    <w:p w:rsidR="008D3D3C" w:rsidRDefault="008D3D3C">
      <w:pPr>
        <w:widowControl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Сохраняется низкий уровень эффективности закупок в результате осуществления преимущественного объема закупок у единственного поставщика.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Допускаются случаи неправомерного изменения условий контрактов, нарушения при размещении информации в реестре контрактов. Продолжают применяться меры, направленные на сокращение конкуренции, такие как искусственное дробление закупок.</w:t>
      </w:r>
    </w:p>
    <w:p w:rsidR="008D3D3C" w:rsidRDefault="008D3D3C">
      <w:pPr>
        <w:widowControl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Всего в течение 2020 года Контрольно-счетной комиссией было проведено два контрольных мероприятия, в том числе: </w:t>
      </w:r>
    </w:p>
    <w:p w:rsidR="008D3D3C" w:rsidRDefault="008D3D3C">
      <w:pPr>
        <w:widowControl w:val="0"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Контрольное мероприятие: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«Проверка по уровням бюджетов использования в 2019 году средств субсидии бюджетам муниципальных районов и городских округов Ивановской области на софинансирование расходов по организации отдыха детей в каникулярное время, в части организации двухразового питания в лагерях дневного пребывания, и субвенции бюджетам муниципальных районов и городских округов Ивановской области на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D3D3C" w:rsidRDefault="008D3D3C">
      <w:pPr>
        <w:widowControl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В процессе осуществления данного контрольного мероприятия были проведены проверки в четырех учреждениях Фурмановского муниципального района: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D3D3C" w:rsidRDefault="008D3D3C">
      <w:pPr>
        <w:widowControl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Финансовое управление администрации Фурмановского муниципального района;</w:t>
      </w:r>
    </w:p>
    <w:p w:rsidR="008D3D3C" w:rsidRDefault="008D3D3C">
      <w:pPr>
        <w:widowControl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учреждение отдел образования администрации Фурмановского муниципального района Ивановской области (далее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 Отдел образования);</w:t>
      </w:r>
    </w:p>
    <w:p w:rsidR="008D3D3C" w:rsidRDefault="008D3D3C">
      <w:pPr>
        <w:widowControl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общеобразовательное учреждение средняя школа № 3 города Фурманова (далее - МОУ СШ №3); </w:t>
      </w:r>
    </w:p>
    <w:p w:rsidR="008D3D3C" w:rsidRDefault="008D3D3C">
      <w:pPr>
        <w:widowControl w:val="0"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Муниципальное автономное учреждение дополнительного образования Центр детского творчества города Фурманова (далее - МАУ ДО ЦДТ).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D3D3C" w:rsidRDefault="008D3D3C">
      <w:pPr>
        <w:widowControl w:val="0"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В рамках данного контрольного мероприятия были проведены проверки по следующим направлениям:</w:t>
      </w:r>
    </w:p>
    <w:p w:rsidR="008D3D3C" w:rsidRDefault="008D3D3C">
      <w:pPr>
        <w:widowControl w:val="0"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1)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облюдение Порядка и условий предоставления субсидий бюджету Фурмановского муниципального района на софинансирование расходов по организации  отдыха детей в каникулярное время, в части организации двухразового питания в лагерях дневного пребывания, определенного в приложении №4 подпрограммы «Реализация государственной политики в интересах семьи и детей» государственной программы Ивановской области «Социальная поддержка граждан в Ивановской области», утвержденной постановлением Правительства Ивановской области от 15.10.2013 №393-п «Об утверждении государственной программы Ивановской области «Социальная поддержка граждан в Ивановской области»;</w:t>
      </w:r>
    </w:p>
    <w:p w:rsidR="008D3D3C" w:rsidRDefault="008D3D3C">
      <w:pPr>
        <w:widowControl w:val="0"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2)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облюдение порядка расходования средств субвенций, предоставляемых бюджету Фурмановского муниципального района на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ситуации, утвержденного  постановлением Правительства Ивановской области от 27.01.2010 №5-п «Об обеспечении отдыха, оздоровления и занятости детей в Ивановской области»;</w:t>
      </w:r>
    </w:p>
    <w:p w:rsidR="008D3D3C" w:rsidRDefault="008D3D3C">
      <w:pPr>
        <w:widowControl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3)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существление контроля за организацией  двухразового питания детей в лагерях дневного пребывания и двухразового питания в лагерях дневного пребывания детей-сирот и детей, находящихся в трудной жизненной ситуации;</w:t>
      </w:r>
    </w:p>
    <w:p w:rsidR="008D3D3C" w:rsidRDefault="008D3D3C">
      <w:pPr>
        <w:tabs>
          <w:tab w:val="left" w:pos="851"/>
        </w:tabs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принятие необходимых мер по устранению недостатков и нарушений, связанных с ненадлежащей организацией двухразового питания детей в лагерях дневного пребывания, выявленных контрольными органами и другими уполномоченными лицами;</w:t>
      </w:r>
    </w:p>
    <w:p w:rsidR="008D3D3C" w:rsidRDefault="008D3D3C">
      <w:pPr>
        <w:widowControl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5) соблюдение порядка формирования муниципального задания на оказание муниципальных услуг (выполнение работ) в отношении муниципальных учреждений Фурмановского муниципального района и финансового обеспечения выполнения муниципального задания, в отношении объектов контрольного мероприятия, в части организации  отдыха детей в каникулярное время;</w:t>
      </w:r>
    </w:p>
    <w:p w:rsidR="008D3D3C" w:rsidRDefault="008D3D3C">
      <w:pPr>
        <w:widowControl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6) деятельность муниципальных учреждений по заключенным и исполненным договорам (контрактам) по организации двухразового питания детей в лагерях дневного пребывания и двухразового питания в лагерях дневного пребывания детей-сирот и детей, находящихся в трудной жизненной ситуации, в соответствии с законодательством Российской Федерации.</w:t>
      </w:r>
    </w:p>
    <w:p w:rsidR="008D3D3C" w:rsidRDefault="008D3D3C">
      <w:pPr>
        <w:tabs>
          <w:tab w:val="left" w:pos="851"/>
        </w:tabs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наличие входного контроля выдачи готовой пищи бракеражной комиссией.</w:t>
      </w:r>
    </w:p>
    <w:p w:rsidR="008D3D3C" w:rsidRDefault="008D3D3C">
      <w:pPr>
        <w:widowControl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8) соответствие количества отпущенных завтраков и обедов, заявленных в требованиях накладных, с табелем учета посещаемости детей.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результате проверки были выявлены следующие нарушения и недостатки.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В ходе проведения контрольного мероприятия была проанализирована работа МУ Отдел образования по соблюдению порядка формирования муниципального задания на оказание муниципальных услуг (выполнение работ) в отношении муниципальных учреждений Фурмановского муниципального района и финансового обеспечения выполнения муниципального задания, в отношении объектов контрольного мероприятия, в части организации  отдыха детей в каникулярное время.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результате проверки установлены нарушения Порядка формирования муниципального задания на оказание муниципальных услуг (выполнение работ) в отношении муниципальных учреждений Фурмановского муниципального района и финансового обеспечения выполнения муниципального задания, утвержденного Постановлением администрации Фурмановского муниципального района от 21.09.2015 №602 по муниципальной услуге: «Организация отдыха детей и молодежи».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 В ходе проведения контрольного мероприятия было проверено соблюдение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В результате проверки установлено нарушение части 1 статьи 23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которое выражается в отсутствии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кода закупки в муниципальных контрактах на оказание услуги по организации питания детей в лагерях дневного пребывания в июне и июле 2019 года, заключенных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МОУ СШ №3.</w:t>
      </w:r>
    </w:p>
    <w:p w:rsidR="008D3D3C" w:rsidRDefault="008D3D3C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 В ходе проведения контрольного мероприятия было проверено наличие входного контроля выдачи готовой пищи бракеражной комиссией.</w:t>
      </w:r>
    </w:p>
    <w:p w:rsidR="008D3D3C" w:rsidRDefault="008D3D3C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Проверкой установлено, что в нарушение пункта 14.6  Санитарно-эпидемиологических требований к организации питания обучающихся в общеобразовательных учреждениях, учреждениях начального и среднего профессионального образования, утвержденных Постановлением главного государственного санитарного врача Российской Федерации от 23.07.2008 №45 (СанПиН  2.4.5.2409-08), в составы бракеражных комиссий МОУ СШ №3 и МАУ ДО ЦДТ не были включены медицинские работники.</w:t>
      </w:r>
    </w:p>
    <w:p w:rsidR="008D3D3C" w:rsidRDefault="008D3D3C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проведения контрольного мероприятия было проверено соблюдение требований Постановления администрации Фурмановского муниципального района от 19.04.2019 №293 «Об организации отдыха, оздоровления и занятости детей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подростков летом 2019 года», Постановления Правительства Ивановской области от 25.12.2015 №603-п «Об установлении в 2016-2019 годах размера стоимости путевок в детские лагеря сезонного и круглогодичного действия и расходов по организации питания детей в лагерях дневного пребывания за счет средств областного бюджета» (далее - Постановления об организации отдыха детей).</w:t>
      </w:r>
    </w:p>
    <w:p w:rsidR="008D3D3C" w:rsidRDefault="008D3D3C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Проверкой установлено нарушение Постановлений об организации отдыха детей в части требования соблюдения Гигиенических требованиям к устройству, содержанию и организации режима в оздоровительных учреждениях с дневным пребыванием детей в период каникул, утвержденных Постановлением главного государственного санитарного врача Российской Федерации от 19.04.2010 №25 (СанПиН 2.4.4.2599-10) при организации двухразового питания в лагерях дневного пребывания детей, в том числе:</w:t>
      </w:r>
    </w:p>
    <w:p w:rsidR="008D3D3C" w:rsidRDefault="008D3D3C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 нарушение требований пункта 9.5  СанПиН 2.4.4.2599-10, выразившееся в том, что примерные меню на оздоровительные смены руководителями оздоровительных учреждений (МОУ СШ №3, МАУ ДО ЦДТ) не согласованы;</w:t>
      </w:r>
    </w:p>
    <w:p w:rsidR="008D3D3C" w:rsidRDefault="008D3D3C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нарушение требований пункта 9.6 СанПиН 2.4.4.2599-10 и приложения 5 к СанПиН 2.4.4.2599-10, которое выражается в занижении массы порций гарнира, при составлении примерного и ежедневного меню для отдельных категорий детей, по отношению к рекомендуемым значениям, в лагерях с дневным пребыванием детей, организованных на базе МОУ СШ №3 и МАУ ДО ЦДТ;</w:t>
      </w:r>
    </w:p>
    <w:p w:rsidR="008D3D3C" w:rsidRDefault="008D3D3C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нарушение требований пункта 9.15 СанПиН 2.4.4.2599-10, которое выражается в том, что в отдельные дни оздоровительных смен лагерей с дневным пребыванием детей, организованных на базе МОУ СШ №3 и МАУ ДО ЦДТ, в состав обедов меню не были включены закуски или порционные овощи;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нарушение требований пункта 9.17 СанПиН 2.4.4.2599-10, которое выражается в том, что фактический рацион питания в отдельные дни оздоровительных смен лагеря с дневным пребыванием, организованным на базе МАУ ДО ЦДТ не соответствует примерным меню.</w:t>
      </w:r>
    </w:p>
    <w:p w:rsidR="008D3D3C" w:rsidRDefault="008D3D3C">
      <w:pPr>
        <w:widowControl w:val="0"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В общей сложности по данному контрольному мероприятию, не считая нарушений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анитарно-эпидемиологических требований к организации питания,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было установлено 6 нарушений в области бюджетно-финансовых правоотношений на общую сумму 280665,00 руб., все из которых подпадают под действие Кодекса Российской Федерации об административных правонарушениях. </w:t>
      </w:r>
    </w:p>
    <w:p w:rsidR="008D3D3C" w:rsidRDefault="008D3D3C">
      <w:pPr>
        <w:widowControl w:val="0"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По результатам контрольного мероприятия оформлены четыре акта, направлены  два Представления Контрольно-счетной комиссии руководителям проверяемых учреждений, два информационных письма руководителям органов, исполняющих функции учредителей проверяемых муниципальных учреждений.</w:t>
      </w:r>
    </w:p>
    <w:p w:rsidR="008D3D3C" w:rsidRDefault="008D3D3C">
      <w:pPr>
        <w:widowControl w:val="0"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Требования Контрольно-счетной комиссии, указанные в представлениях, объектами контроля выполнены.</w:t>
      </w:r>
    </w:p>
    <w:p w:rsidR="008D3D3C" w:rsidRDefault="008D3D3C">
      <w:pPr>
        <w:widowControl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Кроме этого, акты и отчет по результатам данного контрольного мероприятия были направлены в Контрольно-счетную палату Ивановской области в соответствии с принятым Решением о проведении совместной (параллельной) проверки.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3D3C" w:rsidRDefault="008D3D3C">
      <w:pPr>
        <w:widowControl w:val="0"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Контрольное мероприятие: «Проверка законности, результативности (эффективности и экономности) использования средств бюджета Хромцовского сельского поселения, а также средств, полученных бюджетом Хромцовского сельского поселения из бюджета Фурмановского муниципального района, администрацией Хромцовского сельского поселения в 2019 году и истекшем периоде 2020 года».</w:t>
      </w:r>
    </w:p>
    <w:p w:rsidR="008D3D3C" w:rsidRDefault="008D3D3C">
      <w:pPr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В процессе осуществления данного контрольного мероприятия были проведены следующие проверки: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1) проверка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законности и результативности (эффективности и экономности) использования бюджетных средств, предусмотренных на оплату труда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администрации Хромцовского сельского поселения Фурмановского муниципального района в проверяемом периоде;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2) проверка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законности и результативности (эффективности и экономности) использования бюджетных средств, предусмотренных на содержание, обслуживание и работу автомобильного транспорта, находящегося в оперативном управлении администрации Хромцовского сельского поселения Фурмановского муниципального района, в проверяемом периоде;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 аудит закупок товаров, работ, услуг, осуществленных и осуществляемых администрацией Хромцовского сельского поселения Фурмановского муниципального района в проверяемом периоде.</w:t>
      </w:r>
    </w:p>
    <w:p w:rsidR="008D3D3C" w:rsidRDefault="008D3D3C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проведения контрольного мероприятия были выявлены следующие нарушения и недостатки.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Положения об оплате труда работников администрации Хромцовского сельского поселения при начислении и выплате стимулирующей выплаты работнику, выразившееся в том, что главному бухгалтеру администрации Хромцовского сельского поселения в декабре 2019 года было выплачено ежемесячное денежное поощрение в сумме 8694,80 руб., на выплату которого у администрации Хромцовского сельского поселения не было законных оснований. Данный факт является нарушением Положения о системе оплаты труда работников администрации Хромцовского сельского поселения,  утвержденного Постановлением администрации Хромцовского сельского поселения от 03.10.2019 № 72.</w:t>
      </w:r>
    </w:p>
    <w:p w:rsidR="008D3D3C" w:rsidRDefault="008D3D3C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 Нарушение Порядка составления, утверждения и ведения бюджетных смет на 2019 финансовый год и на плановый период 2020 и 2021 годов администрацией Хромцовского сельского поселения при изменении доведенных в установленном порядке лимитов бюджетных обязательств по фонду оплаты труда на 2019 год, выразившееся в том, что несмотря на то, что в доведенные до администрации Хромцовского сельского поселения лимиты бюджетных обязательств по расходам на 2019 год и на плановый период 2020-2021 годов в течение 2019 года вносились изменения, изменения в бюджетные сметы на 2019 финансовый год и на плановый период 2020 и 2021 годов, утвержденные Главой Хромцовского сельского поселения, в течение 2019 финансового года объектом контрольного мероприятия внесены не были.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Данное нарушение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предусматривает административную ответственность согласно части 2 статьи 15.15.7 Кодекса Российской Федерации об административных правонарушениях.</w:t>
      </w:r>
    </w:p>
    <w:p w:rsidR="008D3D3C" w:rsidRDefault="008D3D3C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 В результате проведенной проверки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законности и результативности (эффективности и экономности) использования бюджетных средств, предусмотренных на содержание, обслуживание и работу автомобильного транспорта, находящегося в оперативном управлении администрации Хромцовского сельского поселения, в проверяемом периоде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были выявлены расхождения между периодами проведения ремонтных работ легкового автомобиля и маршрутами движения этого автомобиля по путевым листам.</w:t>
      </w:r>
    </w:p>
    <w:p w:rsidR="008D3D3C" w:rsidRDefault="008D3D3C">
      <w:pPr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В результате проведенного аудита  закупок товаров, работ, услуг были выявлены следующие нарушения:</w:t>
      </w:r>
    </w:p>
    <w:p w:rsidR="008D3D3C" w:rsidRDefault="008D3D3C">
      <w:pPr>
        <w:pStyle w:val="ae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проверяемом периоде до 06.05.2019 администрацией Хромцовского сельского поселения не было назначено должностное лицо, ответственное за осуществление закупки или нескольких закупок, включая исполнение каждого контракта (контрактный управляющий), что является нарушением части 2 статьи 38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ФЗ №44-ФЗ).</w:t>
      </w:r>
    </w:p>
    <w:p w:rsidR="008D3D3C" w:rsidRDefault="008D3D3C">
      <w:pPr>
        <w:pStyle w:val="ae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процессе анализа нарушений и недостатков ведения заказчиком реестра контрактов в Единой информационной системе в сфере закупок в сети Интернет (далее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ЕИС), были выявлены неоднократные случаи неразмещения информации (размещения информации с нарушением сроков) о заключенных муниципальных контрактах в реестре контрактов, случаи нарушения сроков направления сведений (документов о приемке в случае принятия решения о приемке поставленного товара, выполненной работы, оказанной услуги) для размещения в реестре контрактов (нарушение части 3 статьи 103 ФЗ №44-ФЗ);</w:t>
      </w:r>
    </w:p>
    <w:p w:rsidR="008D3D3C" w:rsidRDefault="008D3D3C">
      <w:pPr>
        <w:pStyle w:val="ae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при проведения анализа заключенных заказчиком муниципальных контрактов на механизированную уборку дорог Хромцовского сельского поселения в зимний период 2019 года, был выявлен факт дробления закупки с целью ухода от проведения конкурентной процедуры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то есть в данном случае заказчиком был выбран неправильный  способ определения подрядчика (нарушение части 5 статьи 24 ФЗ №44-ФЗ);</w:t>
      </w:r>
    </w:p>
    <w:p w:rsidR="008D3D3C" w:rsidRDefault="008D3D3C">
      <w:pPr>
        <w:pStyle w:val="ae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установлены признаки наличия конфликта интересов между контрактным управляющим заказчика и участниками закупок</w:t>
      </w:r>
      <w:r>
        <w:rPr>
          <w:rFonts w:ascii="Times New Roman" w:hAnsi="Times New Roman" w:cs="Times New Roman"/>
          <w:sz w:val="24"/>
          <w:szCs w:val="24"/>
        </w:rPr>
        <w:tab/>
        <w:t xml:space="preserve"> (нарушение пункта 9 части 1 статьи 31 ФЗ №44-ФЗ,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 4 части 3 статьи 10 Федерального закона от 25.12.2008 №273-ФЗ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D3D3C" w:rsidRDefault="008D3D3C">
      <w:pPr>
        <w:pStyle w:val="ae"/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установлен случай изменения заказчиком существенных условий муниципального контракта, в том числе увеличение количества поставляемой продукции и цены контракта более, чем на 10 процентов, без заключения дополнительного соглашения к контракту (нарушение части 1 статьи 95 ФЗ №94-ФЗ); </w:t>
      </w:r>
    </w:p>
    <w:p w:rsidR="008D3D3C" w:rsidRDefault="008D3D3C">
      <w:pPr>
        <w:spacing w:after="0" w:line="2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становлены случаи, когда при обосновании цены муниципального контракта, заказчиком не был применен ни один из методов, предусмотренных статьей 22 ФЗ №44-ФЗ (</w:t>
      </w:r>
      <w:r>
        <w:rPr>
          <w:rFonts w:ascii="Times New Roman" w:hAnsi="Times New Roman" w:cs="Times New Roman"/>
          <w:sz w:val="24"/>
          <w:szCs w:val="24"/>
        </w:rPr>
        <w:t>нарушение части 1 статьи 22 ФЗ №44-ФЗ);</w:t>
      </w:r>
    </w:p>
    <w:p w:rsidR="008D3D3C" w:rsidRDefault="008D3D3C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установлены случаи </w:t>
      </w:r>
      <w:r>
        <w:rPr>
          <w:rFonts w:ascii="Times New Roman" w:hAnsi="Times New Roman" w:cs="Times New Roman"/>
          <w:sz w:val="24"/>
          <w:szCs w:val="24"/>
        </w:rPr>
        <w:t>нарушения заказчиком сроков оплаты (авансирования), установленных условиями муниципальных контрактов (нарушение части 1 статьи 94 ФЗ №44-ФЗ);</w:t>
      </w:r>
    </w:p>
    <w:p w:rsidR="008D3D3C" w:rsidRDefault="008D3D3C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установлены случаи оплаты за поставленные товары (выполненные услуги), фактическое поступление (выполнение) которых не подтверждено документами о поставках (выполнении);</w:t>
      </w:r>
    </w:p>
    <w:p w:rsidR="008D3D3C" w:rsidRDefault="008D3D3C">
      <w:pPr>
        <w:pStyle w:val="ae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установлены случаи передачи подрядчику нерудных строительных материалов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выполнения работ по их распределению по дорожному полотну без оформления первичных учетных документов (без накладной, акта приемки-передачи и т. п.) и без отражения внутреннего перемещения материальных запасов в регистрах бухгалтерского учета, в результате была исключена возможность определить какое количество строительных материалов было распределено по дорожному полотну (нарушение пункта 116 Приказа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внебюджетными фондами, государственных академий наук, государственных (муниципальных) учреждений и Инструкции по его применению» (далее - Приказ Минфина России от 01.12.2010 №157н));</w:t>
      </w:r>
    </w:p>
    <w:p w:rsidR="008D3D3C" w:rsidRDefault="008D3D3C">
      <w:pPr>
        <w:pStyle w:val="ae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установлены случаи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заполнения не надлежащим образом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списание материальных запасов, с нарушением пункта 114 Приказа Минфина России от 01.12.2010 №157н, а именно, отсутствовала информация о заключении комиссии по списанию, в связи с чем нет возможности определить на ремонт какого объекта произошло списание строительных материалов.</w:t>
      </w:r>
    </w:p>
    <w:p w:rsidR="008D3D3C" w:rsidRDefault="008D3D3C">
      <w:pPr>
        <w:pStyle w:val="ae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установлено, что полученная администрацией Хромцовского сельского поселения безвозмездно от ООО «НерудИнвест» щебеночно-гравийно-песчаная смесь  в количестве 387,1 тонн, заказчиком на бухгалтерский учет не поставлена, что является нарушением пункта 114 Приказа Минфина России от 01.12.2010 №157н;</w:t>
      </w:r>
    </w:p>
    <w:p w:rsidR="008D3D3C" w:rsidRDefault="008D3D3C">
      <w:pPr>
        <w:pStyle w:val="ae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установлены случаи нарушения </w:t>
      </w:r>
      <w:r>
        <w:rPr>
          <w:rFonts w:ascii="Times New Roman" w:hAnsi="Times New Roman" w:cs="Times New Roman"/>
          <w:sz w:val="24"/>
          <w:szCs w:val="24"/>
        </w:rPr>
        <w:t xml:space="preserve">Порядка исполнения бюджета Хромцовского сельского поселения по расходам, утвержденного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Хромцовского сельского поселения от 06.05.2020 №36 в части авансирования в размере до ста процентов по отдельным муниципальным контрактам. </w:t>
      </w:r>
    </w:p>
    <w:p w:rsidR="008D3D3C" w:rsidRDefault="008D3D3C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Всего по данному контрольному мероприятию установлено 48 нарушений законодательства Российской Федерации и нормативных правовых актов Хромцовского сельского поселения на общую сумму 1 171 892,33 руб. Из них: 2 нарушения в области бюджетно-финансовых правоотношений, 46 нарушений законодательства в области закупок товаров, работ, услуг для муниципальных нужд.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По результатам контрольного мероприятия оформлен акт, направлено представление временно исполняющему полномочия главы Хромцовского сельского поселения, составлено два протокола об административных правонарушениях по статье 15.15.7 Кодекса об административных правонарушениях Российской Федерации «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Нарушение порядка формирования и представления (утверждения) сведений (документов), используемых при составлении и рассмотрении проектов бюджетов бюджетной системы Российской Федерации, исполнении бюджетов бюджетной системы Российской Федерации»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отношении бывшего Главы Хромцовского сельского поселения и главного бухгалтера администрации Хромцовского сельского поселения, которые были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направлены мировому судье Судебного участка №3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Фурмановского судебного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Ивановской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Требования Контрольно-счетной комиссии, указанные в представлении, объектом контроля выполнены. В соответствии с протоколами об административных правонарушениях, мировым судьей Судебного участка №3 Фурмановского судебного района Ивановской области вынесено два Постановления с назначением наказаний в виде штрафов в общей сумме 20 000,00 руб. 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Копии акта и отчета по результатам данного контрольного мероприятия были направлены в Фурмановскую межрайонную прокуратуру в соответствии с заключенным Соглашением о сотрудничестве и взаимодействии.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Отчет по результатам данного контрольного мероприятия был направлен в представительный орган Хромцовского сельского поселения.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Отчеты по всем контрольным мероприятиям направлены в Совет Фурмановского муниципального района и размещены на официальном сайте Фурмановского муниципального района в сети Интернет в разделе: «Контрольно-счетная комиссия / Деятельность КСК».</w:t>
      </w:r>
    </w:p>
    <w:p w:rsidR="008D3D3C" w:rsidRDefault="008D3D3C">
      <w:pPr>
        <w:widowControl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3D3C" w:rsidRDefault="008D3D3C">
      <w:pPr>
        <w:widowControl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Методическое, информационное обеспечение деятельности, взаимодействие с другими контрольно-счетными органами Ивановской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3D3C" w:rsidRDefault="008D3D3C">
      <w:pPr>
        <w:widowControl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D3C" w:rsidRDefault="008D3D3C">
      <w:pPr>
        <w:widowControl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отчетном периоде Контрольно-счетной комиссией проводился мониторинг положений утвержденных ранее стандартов внешнего муниципального финансового контроля на предмет их актуальности и соответствия действующему законодательству, осуществлялись изучение, анализ и обобщение практического опыта методологического обеспечения Счетной палаты Российской Федерации, Контрольно-счетной палаты Ивановской области, Контрольно-счетной палаты города Иванова и других контрольно-счетных органов с целью их применения в своей деятельности.</w:t>
      </w:r>
    </w:p>
    <w:p w:rsidR="008D3D3C" w:rsidRDefault="008D3D3C">
      <w:pPr>
        <w:widowControl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январе 2020 года Контрольно-счетной комиссией были разработаны и утверждены четыре стандарта внешнего муниципального финансового контроля, определяющие порядки деятельности Контрольно-счетной комиссии по проведению контроля за реализацией результатов контрольных и экспертно-аналитических мероприятий, планированию работы Контрольно-счетной комиссии, организации и проведению совместных или параллельных мероприятий, проведению предварительного контроля в процессе исполнения бюджета.</w:t>
      </w:r>
    </w:p>
    <w:p w:rsidR="008D3D3C" w:rsidRDefault="008D3D3C">
      <w:pPr>
        <w:widowControl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феврале 2020 года было заключено Соглашение о сотрудничестве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взаимодействии Контрольно-счетной комиссии Фурмановского муниципального района с Фурмановской межрайонной прокуратурой.</w:t>
      </w:r>
    </w:p>
    <w:p w:rsidR="008D3D3C" w:rsidRDefault="008D3D3C">
      <w:pPr>
        <w:widowControl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2020 году Контрольно-счетной комиссией Фурмановского муниципального района продолжена практика составления протоколов об административных правонарушениях. Составлено два протокола, в соответствии с которыми мировым судьей назначены административные наказания в виде штрафов.</w:t>
      </w:r>
    </w:p>
    <w:p w:rsidR="008D3D3C" w:rsidRDefault="008D3D3C">
      <w:pPr>
        <w:widowControl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течение года формировались ежеквартальные отчеты о деятельности Контрольно-счетной комиссии, которые направлялись в Совет Фурмановского муниципального района.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3D3C" w:rsidRDefault="008D3D3C">
      <w:pPr>
        <w:widowControl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соответствии с планом работы Контрольно-счетной комиссии на 2020 год, на официальном сайте Фурмановского муниципального района, в информационном разделе: «Контрольно-счетная комиссия», в течение года размещалась информация о деятельности Контрольно-счетной комиссии и документы Контрольно-счетной комиссии, утвержденные в 2020 году.</w:t>
      </w:r>
    </w:p>
    <w:p w:rsidR="008D3D3C" w:rsidRDefault="008D3D3C">
      <w:pPr>
        <w:widowControl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процессе взаимодействия с контрольно-счетными органами Ивановской области осуществлялся взаимный обмен информацией и опытом работы.</w:t>
      </w:r>
    </w:p>
    <w:p w:rsidR="008D3D3C" w:rsidRDefault="008D3D3C">
      <w:pPr>
        <w:widowControl w:val="0"/>
        <w:spacing w:after="0" w:line="200" w:lineRule="atLeast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Контрольно-счетная комиссия Фурмановского муниципального района является членом Совета контрольно-счетных органов Ивановской области. В течение 2020 года Председатель Контрольно-счетной комиссии принимал участие во всех заседаниях Общего собрания Совета контрольно-счетных органов Ивановской области.</w:t>
      </w:r>
    </w:p>
    <w:p w:rsidR="008D3D3C" w:rsidRDefault="008D3D3C">
      <w:pPr>
        <w:widowControl w:val="0"/>
        <w:spacing w:after="0" w:line="200" w:lineRule="atLeast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Итоговое заседание Общего собрания Совета контрольно-счетных органов Ивановской области состоялось в январе 2021 года.</w:t>
      </w:r>
    </w:p>
    <w:p w:rsidR="008D3D3C" w:rsidRDefault="008D3D3C">
      <w:pPr>
        <w:widowControl w:val="0"/>
        <w:spacing w:after="0" w:line="200" w:lineRule="atLeast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Основными вопросами повестки заседания были:</w:t>
      </w:r>
    </w:p>
    <w:p w:rsidR="008D3D3C" w:rsidRDefault="008D3D3C">
      <w:pPr>
        <w:widowControl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подведение итогов работы Совета в 2020 году и утверждение соответствующего отчета о деятельности Совета;</w:t>
      </w:r>
    </w:p>
    <w:p w:rsidR="008D3D3C" w:rsidRDefault="008D3D3C">
      <w:pPr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обсуждение перспектив взаимодействия контрольно-счетных органов муниципальных образований области и региональной Контрольно-счетной палаты в рамках осуществления эффективного внешнего финансового контроля и планирование конкретных мероприятий работы Совета на 2021 год;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и</w:t>
      </w:r>
      <w:r>
        <w:rPr>
          <w:rFonts w:ascii="Times New Roman" w:hAnsi="Times New Roman" w:cs="Times New Roman"/>
          <w:sz w:val="24"/>
          <w:szCs w:val="24"/>
        </w:rPr>
        <w:t>збрание двух членов Президиума Совета контрольно-счетных органов Ивановской области по факту образовавшихся вакансий.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Общим собранием контрольно-счетных органов Ивановской области было принято решение включить в состав Президиума Совета контрольно-счетных органов Ивановской области Председателя Контрольно-счетной комиссии Фурмановского муниципального района.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29 декабря 2020 года утвержден план работы Контрольно-счетной комиссии на 2021 год.</w:t>
      </w:r>
    </w:p>
    <w:p w:rsidR="008D3D3C" w:rsidRDefault="008D3D3C">
      <w:pPr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D3C" w:rsidRDefault="008D3D3C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8D3D3C" w:rsidRDefault="008D3D3C">
      <w:pPr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Основные функции, возложенные на Контрольно-счетную комиссию действующим законодательством, нормативными правовыми актами Фурмановского муниципального района, реализованы, годовой план работы Контрольно-счетной комиссии на 2020 год выполнен полностью.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Внешний муниципальный финансовый контроль осуществлялся Контрольно-счетной комиссией в форме контрольных и экспертно-аналитических мероприятий. В отчетном периоде проведены контрольные мероприятия по проверке законности и эффективности использования бюджетных средств муниципальными учреждениями Фурмановского муниципального района в сфере образования при организации двухразового питания в лагерях дневного пребывания детей и администрацией Хромцовского сельского поселения.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Выборочные проверки в области осуществления закупок для муниципальных нужд осуществлены в рамках полномочий по аудиту в сфере закупок, возложенных на Контрольно-счетную комиссию Федеральным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 от 05.04.2013 №44-ФЗ «О контактной системе в сфере закупок товаров, работ, услуг для обеспечения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государственных и муниципальных нужд»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Также, в ходе проведения экспертно-аналитической деятельности, осуществлялась реализация полномочий по контролю за формированием и исполнением бюджетов муниципальных образований Фурмановского муниципального района, финансово-экономическая экспертиза проектов муниципальных правовых актов, в том числе проектов муниципальных программ.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Итоги проведенных контрольных и экспертно-аналитических мероприятий свидетельствуют о соответствии деятельности администрации Фурмановского муниципального района и администраций поселений, входящих в состав Фурмановского муниципального района установленным полномочиям, соблюдении ими норм действующего законодательства, реализации мер по повышению эффективности бюджетного процесса. Вместе с тем, существуют резервы оптимизации бюджетных расходов, необходимо укрепление исполнительской дисциплины. Муниципальная нормативно-правовая база по ряду вопросов нуждается в актуализации и доработке. Сохраняющийся высокий уровень нарушений в сфере осуществления закупок для муниципальных нужд свидетельствует о необходимости продолжения разъяснительной работы с заказчиками.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Основные показатели работы Контрольно-счетной комиссии Фурмановского муниципального района за 2020 год отражены в Приложении №1 к Отчету.</w:t>
      </w: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Контрольно-счетная комиссия Фурмановского муниципального района считает целесообразным продолжить работу по повышению качества контрольных и экспертно-аналитических мероприятий, совершенствованию форм и методов контроля, методологического, правового и информационно-технологического обеспечения деятельности комиссии.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</w:p>
    <w:p w:rsidR="008D3D3C" w:rsidRDefault="008D3D3C">
      <w:pPr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3D3C" w:rsidRDefault="008D3D3C">
      <w:pPr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3D3C" w:rsidRDefault="008D3D3C">
      <w:pPr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3D3C" w:rsidRDefault="008D3D3C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Контрольно-счетной комиссии </w:t>
      </w:r>
    </w:p>
    <w:p w:rsidR="008D3D3C" w:rsidRDefault="008D3D3C">
      <w:pPr>
        <w:spacing w:after="0" w:line="20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Фурмановского муниципального района                                              А.М. Двоеглазов                          </w:t>
      </w:r>
    </w:p>
    <w:p w:rsidR="008D3D3C" w:rsidRDefault="008D3D3C">
      <w:pPr>
        <w:spacing w:after="0" w:line="20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3D3C" w:rsidRDefault="008D3D3C">
      <w:pPr>
        <w:spacing w:after="0" w:line="20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3D3C" w:rsidRDefault="008D3D3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8D3D3C" w:rsidRDefault="008D3D3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D3D3C" w:rsidRDefault="008D3D3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D3D3C" w:rsidRDefault="008D3D3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D3D3C" w:rsidRDefault="008D3D3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D3D3C" w:rsidRDefault="008D3D3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D3D3C" w:rsidRDefault="008D3D3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D3D3C" w:rsidRDefault="008D3D3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D3D3C" w:rsidRDefault="008D3D3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D3D3C" w:rsidRDefault="008D3D3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D3D3C" w:rsidRDefault="008D3D3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D3D3C" w:rsidRDefault="008D3D3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D3D3C" w:rsidRDefault="008D3D3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D3D3C" w:rsidRDefault="008D3D3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D3D3C" w:rsidRDefault="008D3D3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D3D3C" w:rsidRDefault="008D3D3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D3D3C" w:rsidRDefault="008D3D3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D3D3C" w:rsidRDefault="008D3D3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D3D3C" w:rsidRDefault="008D3D3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D3D3C" w:rsidRDefault="008D3D3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D3D3C" w:rsidRDefault="008D3D3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Приложение № 1</w:t>
      </w:r>
    </w:p>
    <w:p w:rsidR="008D3D3C" w:rsidRDefault="008D3D3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к Отчету о работе</w:t>
      </w:r>
    </w:p>
    <w:p w:rsidR="008D3D3C" w:rsidRDefault="008D3D3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Контрольно-счетной комиссии</w:t>
      </w:r>
    </w:p>
    <w:p w:rsidR="008D3D3C" w:rsidRDefault="008D3D3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Фурмановского муниципального </w:t>
      </w:r>
    </w:p>
    <w:p w:rsidR="008D3D3C" w:rsidRDefault="008D3D3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района за 2020 год</w:t>
      </w:r>
    </w:p>
    <w:p w:rsidR="008D3D3C" w:rsidRDefault="008D3D3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D3D3C" w:rsidRDefault="008D3D3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D3D3C" w:rsidRDefault="008D3D3C">
      <w:pPr>
        <w:spacing w:after="0" w:line="100" w:lineRule="atLeast"/>
        <w:ind w:right="-4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показатели работы Контрольно-счетной комиссии Фурмановского муниципального района за 2020 год</w:t>
      </w:r>
    </w:p>
    <w:p w:rsidR="008D3D3C" w:rsidRDefault="008D3D3C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66" w:type="dxa"/>
        <w:tblLayout w:type="fixed"/>
        <w:tblLook w:val="0000" w:firstRow="0" w:lastRow="0" w:firstColumn="0" w:lastColumn="0" w:noHBand="0" w:noVBand="0"/>
      </w:tblPr>
      <w:tblGrid>
        <w:gridCol w:w="906"/>
        <w:gridCol w:w="5579"/>
        <w:gridCol w:w="1485"/>
        <w:gridCol w:w="1804"/>
      </w:tblGrid>
      <w:tr w:rsidR="008D3D3C">
        <w:trPr>
          <w:tblHeader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 показателя</w:t>
            </w:r>
          </w:p>
        </w:tc>
      </w:tr>
      <w:tr w:rsidR="008D3D3C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</w:tr>
      <w:tr w:rsidR="008D3D3C"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Штатная / фактическая численность сотрудников Контрольно-счетной комиссии, </w:t>
            </w:r>
          </w:p>
          <w:p w:rsidR="008D3D3C" w:rsidRDefault="008D3D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/ 2</w:t>
            </w:r>
          </w:p>
        </w:tc>
      </w:tr>
      <w:tr w:rsidR="008D3D3C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муниципальных служащих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/ 2</w:t>
            </w:r>
          </w:p>
        </w:tc>
      </w:tr>
      <w:tr w:rsidR="008D3D3C"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сотрудников, имеющих высшее профессиональное образование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D3C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утвержденных стандартов внешнего муниципального финансового контроля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D3D3C"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соглашений о передаче полномочий по внешнему муниципальному финансовому контролю контрольно-счетных органов поселений Контрольно-счетной комиссии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3D3C"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средств, утвержденных в расходной части бюджета Фурмановского муниципального района на 2020 год, на осуществление деятельности Контрольно-счетной комиссии </w:t>
            </w:r>
          </w:p>
          <w:p w:rsidR="008D3D3C" w:rsidRDefault="008D3D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1 529,52</w:t>
            </w:r>
          </w:p>
        </w:tc>
      </w:tr>
      <w:tr w:rsidR="008D3D3C"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 счет трансфертов от поселений на осуществление переданных полномочий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8D3D3C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мероприятия</w:t>
            </w:r>
          </w:p>
        </w:tc>
      </w:tr>
      <w:tr w:rsidR="008D3D3C"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контрольных мероприятий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D3C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контроля, задействованных при проведении контрольных мероприятий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3D3C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Объем, проверенных средств при проведении контрольных мероприятий, всего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12 215,17</w:t>
            </w:r>
          </w:p>
        </w:tc>
      </w:tr>
      <w:tr w:rsidR="008D3D3C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8D3D3C" w:rsidRDefault="008D3D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проведении аудита в сфере закупок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D3C" w:rsidRDefault="008D3D3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7 504,80</w:t>
            </w:r>
          </w:p>
        </w:tc>
      </w:tr>
      <w:tr w:rsidR="008D3D3C"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Выявлено нарушений, всего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54*</w:t>
            </w:r>
          </w:p>
        </w:tc>
      </w:tr>
      <w:tr w:rsidR="008D3D3C"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8D3D3C" w:rsidRDefault="008D3D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проведении аудита в сфере закупок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D3C" w:rsidRDefault="008D3D3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46*</w:t>
            </w:r>
          </w:p>
        </w:tc>
      </w:tr>
      <w:tr w:rsidR="008D3D3C"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Выявлено неэффективного использования средств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325,50</w:t>
            </w:r>
          </w:p>
        </w:tc>
      </w:tr>
      <w:tr w:rsidR="008D3D3C"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 представлений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D3C"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представлений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D3C"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 информационных писем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3D3C"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Привлечено к дисциплинарной ответственности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D3C"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Возбуждено дел об административных правонарушениях по протоколам составленным Контрольно-счетной комиссией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D3C"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Вынесено постановлений мировыми судьями по возбужденным делам об административных правонарушениях, всего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D3C"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2.10.1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8D3D3C" w:rsidRDefault="008D3D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 назначением административного наказания в виде штрафа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D3C"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назначенных административных наказаний по делам об административных правонарушениях в виде штрафа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8D3D3C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Экспертно-аналитическая деятельность</w:t>
            </w:r>
          </w:p>
        </w:tc>
      </w:tr>
      <w:tr w:rsidR="008D3D3C"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экспертно-аналитических мероприятий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8D3D3C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экспертиз проектов муниципальных правовых актов, в том числе: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8D3D3C"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проектов решений представительных органов 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D3D3C"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проектов решений местных администраций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D3D3C"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средств, проанализированных в ходе проведенных экспертиз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15 530 123,35</w:t>
            </w:r>
          </w:p>
        </w:tc>
      </w:tr>
      <w:tr w:rsidR="008D3D3C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нарушений правовых актов в сфере бюджетного законодательства, выявленных в процессе проведенных экспертиз, всего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D3D3C"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8D3D3C" w:rsidRDefault="008D3D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нарушений Бюджетного кодекса Российской Федерации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D3D3C"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нарушений нормативных правовых актов Российской Федерации, Ивановской области, муниципальных правовых актов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D3C"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 информационных писем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3C" w:rsidRDefault="008D3D3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D3D3C" w:rsidRDefault="008D3D3C">
      <w:pPr>
        <w:spacing w:after="0" w:line="100" w:lineRule="atLeast"/>
        <w:rPr>
          <w:rFonts w:ascii="Times New Roman" w:eastAsia="Times New Roman" w:hAnsi="Times New Roman" w:cs="Times New Roman"/>
        </w:rPr>
      </w:pPr>
    </w:p>
    <w:p w:rsidR="008D3D3C" w:rsidRDefault="008D3D3C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* - учет количества выявленных нарушений осуществлен в соответствии с «Классификатором нарушений, выявляемых в ходе внешнего государственного аудита (контроля)» (в редакции от 22.12.2015), одобренного Советом контрольно-счетных органов при Счетной палате Российской Федерации 17.12.2014, протокол №2-СКСО</w:t>
      </w:r>
    </w:p>
    <w:p w:rsidR="008D3D3C" w:rsidRDefault="008D3D3C">
      <w:pPr>
        <w:pStyle w:val="msonormalcxspmiddle"/>
        <w:spacing w:before="0" w:after="0"/>
      </w:pPr>
    </w:p>
    <w:sectPr w:rsidR="008D3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56" w:right="1133" w:bottom="851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895" w:rsidRDefault="00BB2895">
      <w:pPr>
        <w:spacing w:after="0" w:line="240" w:lineRule="auto"/>
      </w:pPr>
      <w:r>
        <w:separator/>
      </w:r>
    </w:p>
  </w:endnote>
  <w:endnote w:type="continuationSeparator" w:id="0">
    <w:p w:rsidR="00BB2895" w:rsidRDefault="00BB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3C" w:rsidRDefault="008D3D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3C" w:rsidRDefault="008D3D3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3C" w:rsidRDefault="008D3D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895" w:rsidRDefault="00BB2895">
      <w:pPr>
        <w:spacing w:after="0" w:line="240" w:lineRule="auto"/>
      </w:pPr>
      <w:r>
        <w:separator/>
      </w:r>
    </w:p>
  </w:footnote>
  <w:footnote w:type="continuationSeparator" w:id="0">
    <w:p w:rsidR="00BB2895" w:rsidRDefault="00BB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3C" w:rsidRDefault="008D3D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3C" w:rsidRDefault="008D3D3C">
    <w:pPr>
      <w:pStyle w:val="ac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3C" w:rsidRDefault="008D3D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07"/>
    <w:rsid w:val="000D6D65"/>
    <w:rsid w:val="00463907"/>
    <w:rsid w:val="008D3D3C"/>
    <w:rsid w:val="00995DB2"/>
    <w:rsid w:val="00BB2895"/>
    <w:rsid w:val="00C5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keepNext/>
      <w:widowControl w:val="0"/>
      <w:numPr>
        <w:numId w:val="1"/>
      </w:numPr>
      <w:spacing w:after="0" w:line="100" w:lineRule="atLeast"/>
      <w:ind w:left="0" w:firstLine="460"/>
      <w:jc w:val="both"/>
      <w:outlineLvl w:val="0"/>
    </w:pPr>
    <w:rPr>
      <w:rFonts w:ascii="Times New Roman" w:hAnsi="Times New Roman" w:cs="Times New Roman"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eastAsia="Calibri"/>
      <w:sz w:val="24"/>
      <w:szCs w:val="24"/>
      <w:u w:val="single"/>
      <w:lang w:val="ru-RU" w:eastAsia="ar-SA" w:bidi="ar-SA"/>
    </w:rPr>
  </w:style>
  <w:style w:type="character" w:customStyle="1" w:styleId="TitleChar">
    <w:name w:val="Title Char"/>
    <w:rPr>
      <w:rFonts w:eastAsia="Calibri"/>
      <w:b/>
      <w:bCs/>
      <w:sz w:val="40"/>
      <w:szCs w:val="40"/>
      <w:lang w:val="ru-RU" w:eastAsia="ar-SA" w:bidi="ar-SA"/>
    </w:rPr>
  </w:style>
  <w:style w:type="character" w:customStyle="1" w:styleId="BodyTextChar">
    <w:name w:val="Body Text Char"/>
    <w:rPr>
      <w:rFonts w:eastAsia="Calibri"/>
      <w:sz w:val="24"/>
      <w:szCs w:val="24"/>
      <w:lang w:val="ru-RU" w:eastAsia="ar-SA" w:bidi="ar-SA"/>
    </w:rPr>
  </w:style>
  <w:style w:type="character" w:customStyle="1" w:styleId="a4">
    <w:name w:val="Верхний колонтитул Знак"/>
    <w:rPr>
      <w:rFonts w:ascii="Calibri" w:eastAsia="Calibri" w:hAnsi="Calibri" w:cs="Calibri"/>
      <w:sz w:val="22"/>
      <w:szCs w:val="22"/>
    </w:rPr>
  </w:style>
  <w:style w:type="character" w:customStyle="1" w:styleId="a5">
    <w:name w:val="Нижний колонтитул Знак"/>
    <w:rPr>
      <w:rFonts w:ascii="Calibri" w:eastAsia="Calibri" w:hAnsi="Calibri" w:cs="Calibri"/>
      <w:sz w:val="22"/>
      <w:szCs w:val="22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widowControl w:val="0"/>
      <w:spacing w:after="0" w:line="100" w:lineRule="atLeast"/>
      <w:ind w:right="400"/>
      <w:jc w:val="center"/>
    </w:pPr>
    <w:rPr>
      <w:rFonts w:ascii="Times New Roman" w:hAnsi="Times New Roman" w:cs="Times New Roman"/>
      <w:sz w:val="24"/>
      <w:szCs w:val="24"/>
    </w:rPr>
  </w:style>
  <w:style w:type="paragraph" w:styleId="a9">
    <w:name w:val="List"/>
    <w:basedOn w:val="a0"/>
    <w:rPr>
      <w:rFonts w:cs="Ari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a">
    <w:name w:val="Title"/>
    <w:basedOn w:val="a"/>
    <w:next w:val="ab"/>
    <w:qFormat/>
    <w:pPr>
      <w:spacing w:after="0" w:line="100" w:lineRule="atLeast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styleId="ab">
    <w:name w:val="Subtitle"/>
    <w:basedOn w:val="a8"/>
    <w:next w:val="a0"/>
    <w:qFormat/>
    <w:pPr>
      <w:jc w:val="center"/>
    </w:pPr>
    <w:rPr>
      <w:i/>
      <w:iCs/>
    </w:rPr>
  </w:style>
  <w:style w:type="paragraph" w:customStyle="1" w:styleId="msonormalcxspmiddle">
    <w:name w:val="msonormalcxspmiddle"/>
    <w:basedOn w:val="a"/>
    <w:pPr>
      <w:spacing w:before="280" w:after="28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6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63907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keepNext/>
      <w:widowControl w:val="0"/>
      <w:numPr>
        <w:numId w:val="1"/>
      </w:numPr>
      <w:spacing w:after="0" w:line="100" w:lineRule="atLeast"/>
      <w:ind w:left="0" w:firstLine="460"/>
      <w:jc w:val="both"/>
      <w:outlineLvl w:val="0"/>
    </w:pPr>
    <w:rPr>
      <w:rFonts w:ascii="Times New Roman" w:hAnsi="Times New Roman" w:cs="Times New Roman"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eastAsia="Calibri"/>
      <w:sz w:val="24"/>
      <w:szCs w:val="24"/>
      <w:u w:val="single"/>
      <w:lang w:val="ru-RU" w:eastAsia="ar-SA" w:bidi="ar-SA"/>
    </w:rPr>
  </w:style>
  <w:style w:type="character" w:customStyle="1" w:styleId="TitleChar">
    <w:name w:val="Title Char"/>
    <w:rPr>
      <w:rFonts w:eastAsia="Calibri"/>
      <w:b/>
      <w:bCs/>
      <w:sz w:val="40"/>
      <w:szCs w:val="40"/>
      <w:lang w:val="ru-RU" w:eastAsia="ar-SA" w:bidi="ar-SA"/>
    </w:rPr>
  </w:style>
  <w:style w:type="character" w:customStyle="1" w:styleId="BodyTextChar">
    <w:name w:val="Body Text Char"/>
    <w:rPr>
      <w:rFonts w:eastAsia="Calibri"/>
      <w:sz w:val="24"/>
      <w:szCs w:val="24"/>
      <w:lang w:val="ru-RU" w:eastAsia="ar-SA" w:bidi="ar-SA"/>
    </w:rPr>
  </w:style>
  <w:style w:type="character" w:customStyle="1" w:styleId="a4">
    <w:name w:val="Верхний колонтитул Знак"/>
    <w:rPr>
      <w:rFonts w:ascii="Calibri" w:eastAsia="Calibri" w:hAnsi="Calibri" w:cs="Calibri"/>
      <w:sz w:val="22"/>
      <w:szCs w:val="22"/>
    </w:rPr>
  </w:style>
  <w:style w:type="character" w:customStyle="1" w:styleId="a5">
    <w:name w:val="Нижний колонтитул Знак"/>
    <w:rPr>
      <w:rFonts w:ascii="Calibri" w:eastAsia="Calibri" w:hAnsi="Calibri" w:cs="Calibri"/>
      <w:sz w:val="22"/>
      <w:szCs w:val="22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widowControl w:val="0"/>
      <w:spacing w:after="0" w:line="100" w:lineRule="atLeast"/>
      <w:ind w:right="400"/>
      <w:jc w:val="center"/>
    </w:pPr>
    <w:rPr>
      <w:rFonts w:ascii="Times New Roman" w:hAnsi="Times New Roman" w:cs="Times New Roman"/>
      <w:sz w:val="24"/>
      <w:szCs w:val="24"/>
    </w:rPr>
  </w:style>
  <w:style w:type="paragraph" w:styleId="a9">
    <w:name w:val="List"/>
    <w:basedOn w:val="a0"/>
    <w:rPr>
      <w:rFonts w:cs="Ari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a">
    <w:name w:val="Title"/>
    <w:basedOn w:val="a"/>
    <w:next w:val="ab"/>
    <w:qFormat/>
    <w:pPr>
      <w:spacing w:after="0" w:line="100" w:lineRule="atLeast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styleId="ab">
    <w:name w:val="Subtitle"/>
    <w:basedOn w:val="a8"/>
    <w:next w:val="a0"/>
    <w:qFormat/>
    <w:pPr>
      <w:jc w:val="center"/>
    </w:pPr>
    <w:rPr>
      <w:i/>
      <w:iCs/>
    </w:rPr>
  </w:style>
  <w:style w:type="paragraph" w:customStyle="1" w:styleId="msonormalcxspmiddle">
    <w:name w:val="msonormalcxspmiddle"/>
    <w:basedOn w:val="a"/>
    <w:pPr>
      <w:spacing w:before="280" w:after="28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6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6390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6759</Words>
  <Characters>38532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2021-03-02T06:50:00Z</cp:lastPrinted>
  <dcterms:created xsi:type="dcterms:W3CDTF">2021-03-04T06:54:00Z</dcterms:created>
  <dcterms:modified xsi:type="dcterms:W3CDTF">2021-03-04T06:54:00Z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